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811" w:rsidRPr="00A72811" w:rsidRDefault="00A72811" w:rsidP="00A72811">
      <w:pPr>
        <w:rPr>
          <w:b/>
          <w:sz w:val="24"/>
          <w:szCs w:val="24"/>
        </w:rPr>
      </w:pPr>
      <w:r w:rsidRPr="00A72811">
        <w:rPr>
          <w:b/>
          <w:sz w:val="24"/>
          <w:szCs w:val="24"/>
        </w:rPr>
        <w:t>Bebauungsplan Nr. S5 „Gewerbegebiet Schwarzkollm“,</w:t>
      </w:r>
      <w:r>
        <w:rPr>
          <w:b/>
          <w:sz w:val="24"/>
          <w:szCs w:val="24"/>
        </w:rPr>
        <w:t xml:space="preserve"> </w:t>
      </w:r>
      <w:r w:rsidRPr="00A72811">
        <w:rPr>
          <w:b/>
          <w:sz w:val="24"/>
          <w:szCs w:val="24"/>
        </w:rPr>
        <w:t>2. Änderung</w:t>
      </w:r>
    </w:p>
    <w:p w:rsidR="002061D1" w:rsidRDefault="006B0D22">
      <w:pPr>
        <w:rPr>
          <w:b/>
          <w:sz w:val="24"/>
          <w:szCs w:val="24"/>
        </w:rPr>
      </w:pPr>
      <w:r>
        <w:rPr>
          <w:b/>
          <w:sz w:val="24"/>
          <w:szCs w:val="24"/>
        </w:rPr>
        <w:t xml:space="preserve">Teil B: </w:t>
      </w:r>
      <w:r w:rsidRPr="006B0D22">
        <w:rPr>
          <w:b/>
          <w:sz w:val="24"/>
          <w:szCs w:val="24"/>
        </w:rPr>
        <w:t>Textliche Festsetzungen</w:t>
      </w:r>
    </w:p>
    <w:p w:rsidR="006B0D22" w:rsidRDefault="006B0D22" w:rsidP="006B0D22">
      <w:pPr>
        <w:rPr>
          <w:b/>
          <w:sz w:val="24"/>
          <w:szCs w:val="24"/>
        </w:rPr>
      </w:pPr>
      <w:r w:rsidRPr="006B0D22">
        <w:rPr>
          <w:b/>
          <w:sz w:val="24"/>
          <w:szCs w:val="24"/>
        </w:rPr>
        <w:t>I.</w:t>
      </w:r>
      <w:r>
        <w:rPr>
          <w:b/>
          <w:sz w:val="24"/>
          <w:szCs w:val="24"/>
        </w:rPr>
        <w:t xml:space="preserve"> Bauplanungsrechtliche Festsetzungen</w:t>
      </w:r>
    </w:p>
    <w:p w:rsidR="008054ED" w:rsidRPr="00FB2595" w:rsidRDefault="006B0D22" w:rsidP="00030DC3">
      <w:pPr>
        <w:tabs>
          <w:tab w:val="left" w:pos="426"/>
        </w:tabs>
        <w:rPr>
          <w:sz w:val="24"/>
          <w:szCs w:val="24"/>
        </w:rPr>
      </w:pPr>
      <w:r w:rsidRPr="006B0D22">
        <w:rPr>
          <w:sz w:val="24"/>
          <w:szCs w:val="24"/>
          <w:u w:val="single"/>
        </w:rPr>
        <w:t>1.</w:t>
      </w:r>
      <w:r w:rsidRPr="006B0D22">
        <w:rPr>
          <w:b/>
          <w:sz w:val="24"/>
          <w:szCs w:val="24"/>
          <w:u w:val="single"/>
        </w:rPr>
        <w:t xml:space="preserve"> </w:t>
      </w:r>
      <w:r w:rsidRPr="006B0D22">
        <w:rPr>
          <w:sz w:val="24"/>
          <w:szCs w:val="24"/>
          <w:u w:val="single"/>
        </w:rPr>
        <w:t>Art der baulichen Nutzung</w:t>
      </w:r>
      <w:r w:rsidR="004E4A4F">
        <w:rPr>
          <w:sz w:val="24"/>
          <w:szCs w:val="24"/>
          <w:u w:val="single"/>
        </w:rPr>
        <w:t xml:space="preserve"> (§ 9 Abs. 1 Nr. 1 BauGB</w:t>
      </w:r>
      <w:r w:rsidR="004C1BDD">
        <w:rPr>
          <w:sz w:val="24"/>
          <w:szCs w:val="24"/>
          <w:u w:val="single"/>
        </w:rPr>
        <w:t xml:space="preserve"> i. V. m. § 1 Abs. 4 BauNVO</w:t>
      </w:r>
      <w:r w:rsidR="004E4A4F">
        <w:rPr>
          <w:sz w:val="24"/>
          <w:szCs w:val="24"/>
          <w:u w:val="single"/>
        </w:rPr>
        <w:t>)</w:t>
      </w:r>
      <w:r w:rsidRPr="006B0D22">
        <w:rPr>
          <w:sz w:val="24"/>
          <w:szCs w:val="24"/>
          <w:u w:val="single"/>
        </w:rPr>
        <w:br/>
      </w:r>
      <w:r w:rsidR="008054ED">
        <w:rPr>
          <w:sz w:val="24"/>
          <w:szCs w:val="24"/>
        </w:rPr>
        <w:t xml:space="preserve">1.1 </w:t>
      </w:r>
      <w:r w:rsidR="008054ED">
        <w:rPr>
          <w:sz w:val="24"/>
          <w:szCs w:val="24"/>
        </w:rPr>
        <w:tab/>
        <w:t xml:space="preserve">Im Geltungsbereich des Bebauungsplanes </w:t>
      </w:r>
      <w:r w:rsidR="002909DD">
        <w:rPr>
          <w:sz w:val="24"/>
          <w:szCs w:val="24"/>
        </w:rPr>
        <w:t>sind Gewerbebetriebe</w:t>
      </w:r>
      <w:r w:rsidR="008054ED">
        <w:rPr>
          <w:sz w:val="24"/>
          <w:szCs w:val="24"/>
        </w:rPr>
        <w:t xml:space="preserve"> i. S. § 8 Abs. 2 Nr. 1 und 2 </w:t>
      </w:r>
      <w:r w:rsidR="008054ED">
        <w:rPr>
          <w:sz w:val="24"/>
          <w:szCs w:val="24"/>
        </w:rPr>
        <w:tab/>
      </w:r>
      <w:r w:rsidR="00376092">
        <w:rPr>
          <w:sz w:val="24"/>
          <w:szCs w:val="24"/>
        </w:rPr>
        <w:t>BauNVO</w:t>
      </w:r>
      <w:r w:rsidR="00532C3F">
        <w:rPr>
          <w:sz w:val="24"/>
          <w:szCs w:val="24"/>
        </w:rPr>
        <w:t xml:space="preserve"> zulässig.</w:t>
      </w:r>
    </w:p>
    <w:p w:rsidR="00A14CC2" w:rsidRDefault="00453342" w:rsidP="00AC2AA7">
      <w:pPr>
        <w:tabs>
          <w:tab w:val="left" w:pos="426"/>
        </w:tabs>
        <w:rPr>
          <w:rFonts w:cs="Arial"/>
          <w:w w:val="90"/>
          <w:sz w:val="24"/>
          <w:szCs w:val="24"/>
        </w:rPr>
      </w:pPr>
      <w:r>
        <w:rPr>
          <w:sz w:val="24"/>
          <w:szCs w:val="24"/>
        </w:rPr>
        <w:t>1</w:t>
      </w:r>
      <w:r w:rsidR="00532C3F">
        <w:rPr>
          <w:sz w:val="24"/>
          <w:szCs w:val="24"/>
        </w:rPr>
        <w:t>.2</w:t>
      </w:r>
      <w:r>
        <w:rPr>
          <w:sz w:val="24"/>
          <w:szCs w:val="24"/>
        </w:rPr>
        <w:tab/>
      </w:r>
      <w:r w:rsidR="00897D7B">
        <w:rPr>
          <w:sz w:val="24"/>
          <w:szCs w:val="24"/>
        </w:rPr>
        <w:t xml:space="preserve">Im gesamten Plangebiet sind gebäudeunabhängige Photovoltaikanlagen </w:t>
      </w:r>
      <w:r w:rsidR="00376092">
        <w:rPr>
          <w:sz w:val="24"/>
          <w:szCs w:val="24"/>
        </w:rPr>
        <w:t xml:space="preserve">sowie </w:t>
      </w:r>
      <w:r w:rsidR="00376092">
        <w:rPr>
          <w:sz w:val="24"/>
          <w:szCs w:val="24"/>
        </w:rPr>
        <w:tab/>
        <w:t xml:space="preserve">Vergnügungsstätten i. S. § 8 Abs. 3 Nr. 3 BauNVO </w:t>
      </w:r>
      <w:r w:rsidR="00897D7B">
        <w:rPr>
          <w:sz w:val="24"/>
          <w:szCs w:val="24"/>
        </w:rPr>
        <w:t>unzulässig.</w:t>
      </w:r>
    </w:p>
    <w:p w:rsidR="00AC2AA7" w:rsidRDefault="00AC2AA7" w:rsidP="00AC2AA7">
      <w:pPr>
        <w:tabs>
          <w:tab w:val="left" w:pos="426"/>
        </w:tabs>
        <w:rPr>
          <w:sz w:val="24"/>
          <w:szCs w:val="24"/>
        </w:rPr>
      </w:pPr>
    </w:p>
    <w:p w:rsidR="00C10EFC" w:rsidRPr="00A72811" w:rsidRDefault="00C10EFC" w:rsidP="00372262">
      <w:pPr>
        <w:tabs>
          <w:tab w:val="left" w:pos="426"/>
        </w:tabs>
        <w:rPr>
          <w:sz w:val="24"/>
          <w:szCs w:val="24"/>
        </w:rPr>
      </w:pPr>
      <w:r w:rsidRPr="00C10EFC">
        <w:rPr>
          <w:sz w:val="24"/>
          <w:szCs w:val="24"/>
          <w:u w:val="single"/>
        </w:rPr>
        <w:t>2. Maß der baulichen Nutzung</w:t>
      </w:r>
      <w:r w:rsidR="004E4A4F">
        <w:rPr>
          <w:sz w:val="24"/>
          <w:szCs w:val="24"/>
          <w:u w:val="single"/>
        </w:rPr>
        <w:t xml:space="preserve"> (§ 9 Abs. 1 Nr. 2 BauGB)</w:t>
      </w:r>
      <w:r>
        <w:rPr>
          <w:sz w:val="24"/>
          <w:szCs w:val="24"/>
        </w:rPr>
        <w:br/>
      </w:r>
      <w:r w:rsidR="009A720B">
        <w:rPr>
          <w:sz w:val="24"/>
          <w:szCs w:val="24"/>
        </w:rPr>
        <w:t>1.1</w:t>
      </w:r>
      <w:r w:rsidR="009A720B">
        <w:rPr>
          <w:sz w:val="24"/>
          <w:szCs w:val="24"/>
        </w:rPr>
        <w:tab/>
      </w:r>
      <w:r w:rsidR="00897D7B">
        <w:rPr>
          <w:sz w:val="24"/>
          <w:szCs w:val="24"/>
        </w:rPr>
        <w:t>D</w:t>
      </w:r>
      <w:r w:rsidR="00532C3F">
        <w:rPr>
          <w:sz w:val="24"/>
          <w:szCs w:val="24"/>
        </w:rPr>
        <w:t>ie zulässige Gebäudehöhe beträgt max. 55 m</w:t>
      </w:r>
      <w:r w:rsidR="00897D7B">
        <w:rPr>
          <w:sz w:val="24"/>
          <w:szCs w:val="24"/>
        </w:rPr>
        <w:t>.</w:t>
      </w:r>
      <w:r w:rsidR="009A720B">
        <w:rPr>
          <w:sz w:val="24"/>
          <w:szCs w:val="24"/>
        </w:rPr>
        <w:br/>
      </w:r>
      <w:r w:rsidR="009A720B">
        <w:rPr>
          <w:color w:val="FF0000"/>
          <w:sz w:val="24"/>
          <w:szCs w:val="24"/>
        </w:rPr>
        <w:tab/>
      </w:r>
      <w:r w:rsidR="00775FFB" w:rsidRPr="00A72811">
        <w:rPr>
          <w:sz w:val="24"/>
          <w:szCs w:val="24"/>
        </w:rPr>
        <w:t>Unterer Bezugspunkt in Bezug auf die maximale</w:t>
      </w:r>
      <w:r w:rsidR="00A72811" w:rsidRPr="00A72811">
        <w:rPr>
          <w:sz w:val="24"/>
          <w:szCs w:val="24"/>
        </w:rPr>
        <w:t xml:space="preserve"> Höhe ist die jeweils angrenzende </w:t>
      </w:r>
      <w:r w:rsidR="00A72811" w:rsidRPr="00A72811">
        <w:rPr>
          <w:sz w:val="24"/>
          <w:szCs w:val="24"/>
        </w:rPr>
        <w:tab/>
      </w:r>
      <w:r w:rsidR="00A72811">
        <w:rPr>
          <w:sz w:val="24"/>
          <w:szCs w:val="24"/>
        </w:rPr>
        <w:t>Straßenob</w:t>
      </w:r>
      <w:r w:rsidR="00A72811" w:rsidRPr="00A72811">
        <w:rPr>
          <w:sz w:val="24"/>
          <w:szCs w:val="24"/>
        </w:rPr>
        <w:t>erkante nach DHHN 2016</w:t>
      </w:r>
      <w:r w:rsidR="00775FFB" w:rsidRPr="00A72811">
        <w:rPr>
          <w:sz w:val="24"/>
          <w:szCs w:val="24"/>
        </w:rPr>
        <w:t>.</w:t>
      </w:r>
    </w:p>
    <w:p w:rsidR="009A720B" w:rsidRDefault="009A720B" w:rsidP="009A720B">
      <w:pPr>
        <w:tabs>
          <w:tab w:val="left" w:pos="426"/>
        </w:tabs>
        <w:rPr>
          <w:sz w:val="24"/>
          <w:szCs w:val="24"/>
        </w:rPr>
      </w:pPr>
      <w:r>
        <w:rPr>
          <w:sz w:val="24"/>
          <w:szCs w:val="24"/>
        </w:rPr>
        <w:t>1.2</w:t>
      </w:r>
      <w:r>
        <w:rPr>
          <w:sz w:val="24"/>
          <w:szCs w:val="24"/>
        </w:rPr>
        <w:tab/>
        <w:t>Die Grundflächenzahl beträgt 0,8.</w:t>
      </w:r>
    </w:p>
    <w:p w:rsidR="00600061" w:rsidRDefault="00600061" w:rsidP="00FB2595">
      <w:pPr>
        <w:tabs>
          <w:tab w:val="left" w:pos="284"/>
          <w:tab w:val="left" w:pos="426"/>
        </w:tabs>
        <w:rPr>
          <w:sz w:val="24"/>
          <w:szCs w:val="24"/>
        </w:rPr>
      </w:pPr>
    </w:p>
    <w:p w:rsidR="004E4A4F" w:rsidRDefault="004E4A4F">
      <w:pPr>
        <w:rPr>
          <w:b/>
          <w:sz w:val="24"/>
          <w:szCs w:val="24"/>
        </w:rPr>
      </w:pPr>
      <w:r>
        <w:rPr>
          <w:b/>
          <w:sz w:val="24"/>
          <w:szCs w:val="24"/>
        </w:rPr>
        <w:t>II. Bauordnungsrechtliche Festsetzungen (§ 9 Abs. 4 BauGB i. V. m § 89 SächsBO)</w:t>
      </w:r>
    </w:p>
    <w:p w:rsidR="004E4A4F" w:rsidRDefault="00FF6D21" w:rsidP="00372262">
      <w:pPr>
        <w:tabs>
          <w:tab w:val="left" w:pos="426"/>
        </w:tabs>
        <w:rPr>
          <w:sz w:val="24"/>
          <w:szCs w:val="24"/>
        </w:rPr>
      </w:pPr>
      <w:r>
        <w:rPr>
          <w:sz w:val="24"/>
          <w:szCs w:val="24"/>
        </w:rPr>
        <w:tab/>
      </w:r>
      <w:r w:rsidR="004E4A4F">
        <w:rPr>
          <w:sz w:val="24"/>
          <w:szCs w:val="24"/>
        </w:rPr>
        <w:t>Sämtliche Einfriedungen sind so anzulegen, dass sich eine Bode</w:t>
      </w:r>
      <w:r w:rsidR="00C70601">
        <w:rPr>
          <w:sz w:val="24"/>
          <w:szCs w:val="24"/>
        </w:rPr>
        <w:t>nfreiheit von 10- 15 cm ergibt.</w:t>
      </w:r>
      <w:r w:rsidR="00C70601">
        <w:rPr>
          <w:sz w:val="24"/>
          <w:szCs w:val="24"/>
        </w:rPr>
        <w:br/>
      </w:r>
      <w:r w:rsidR="00372262">
        <w:rPr>
          <w:sz w:val="24"/>
          <w:szCs w:val="24"/>
        </w:rPr>
        <w:tab/>
      </w:r>
      <w:r w:rsidR="00B31423">
        <w:rPr>
          <w:sz w:val="24"/>
          <w:szCs w:val="24"/>
        </w:rPr>
        <w:t>Die Errichtung von Zauns</w:t>
      </w:r>
      <w:bookmarkStart w:id="0" w:name="_GoBack"/>
      <w:bookmarkEnd w:id="0"/>
      <w:r w:rsidR="004E4A4F">
        <w:rPr>
          <w:sz w:val="24"/>
          <w:szCs w:val="24"/>
        </w:rPr>
        <w:t>ockeln, die mehr als 5 cm üb</w:t>
      </w:r>
      <w:r w:rsidR="007D0723">
        <w:rPr>
          <w:sz w:val="24"/>
          <w:szCs w:val="24"/>
        </w:rPr>
        <w:t xml:space="preserve">er die Oberkante Gelände </w:t>
      </w:r>
      <w:r w:rsidR="00C70601">
        <w:rPr>
          <w:sz w:val="24"/>
          <w:szCs w:val="24"/>
        </w:rPr>
        <w:t>ragen, sind</w:t>
      </w:r>
      <w:r w:rsidR="004E4A4F">
        <w:rPr>
          <w:sz w:val="24"/>
          <w:szCs w:val="24"/>
        </w:rPr>
        <w:t xml:space="preserve"> </w:t>
      </w:r>
      <w:r w:rsidR="007D0723">
        <w:rPr>
          <w:sz w:val="24"/>
          <w:szCs w:val="24"/>
        </w:rPr>
        <w:tab/>
      </w:r>
      <w:r w:rsidR="004E4A4F">
        <w:rPr>
          <w:sz w:val="24"/>
          <w:szCs w:val="24"/>
        </w:rPr>
        <w:t>unzulässig.</w:t>
      </w:r>
    </w:p>
    <w:p w:rsidR="00136F62" w:rsidRDefault="00136F62" w:rsidP="004E4A4F">
      <w:pPr>
        <w:rPr>
          <w:sz w:val="24"/>
          <w:szCs w:val="24"/>
        </w:rPr>
      </w:pPr>
    </w:p>
    <w:p w:rsidR="001A2A8F" w:rsidRDefault="001A2A8F" w:rsidP="004E4A4F">
      <w:pPr>
        <w:rPr>
          <w:sz w:val="24"/>
          <w:szCs w:val="24"/>
        </w:rPr>
      </w:pPr>
    </w:p>
    <w:p w:rsidR="001A2A8F" w:rsidRDefault="004E4A4F" w:rsidP="001A2A8F">
      <w:pPr>
        <w:rPr>
          <w:b/>
          <w:sz w:val="24"/>
          <w:szCs w:val="24"/>
        </w:rPr>
      </w:pPr>
      <w:r w:rsidRPr="004E4A4F">
        <w:rPr>
          <w:b/>
          <w:sz w:val="24"/>
          <w:szCs w:val="24"/>
        </w:rPr>
        <w:t>III. Hinweise</w:t>
      </w:r>
    </w:p>
    <w:p w:rsidR="001A2A8F" w:rsidRPr="001A2A8F" w:rsidRDefault="001A2A8F" w:rsidP="001A2A8F">
      <w:pPr>
        <w:pStyle w:val="Default"/>
        <w:rPr>
          <w:rFonts w:ascii="Arial Narrow" w:hAnsi="Arial Narrow"/>
          <w:u w:val="single"/>
        </w:rPr>
      </w:pPr>
      <w:r>
        <w:rPr>
          <w:rFonts w:ascii="Arial Narrow" w:hAnsi="Arial Narrow"/>
          <w:u w:val="single"/>
        </w:rPr>
        <w:t xml:space="preserve">1. </w:t>
      </w:r>
      <w:r w:rsidRPr="001A2A8F">
        <w:rPr>
          <w:rFonts w:ascii="Arial Narrow" w:hAnsi="Arial Narrow"/>
          <w:u w:val="single"/>
        </w:rPr>
        <w:t>Flächen zur Herstellung der Gewässerquerung</w:t>
      </w:r>
    </w:p>
    <w:p w:rsidR="001A2A8F" w:rsidRPr="00813754" w:rsidRDefault="001A2A8F" w:rsidP="001A2A8F">
      <w:pPr>
        <w:pStyle w:val="Default"/>
        <w:rPr>
          <w:rFonts w:ascii="Arial Narrow" w:hAnsi="Arial Narrow"/>
        </w:rPr>
      </w:pPr>
      <w:r>
        <w:rPr>
          <w:rFonts w:ascii="Arial Narrow" w:hAnsi="Arial Narrow"/>
        </w:rPr>
        <w:t xml:space="preserve">Die in </w:t>
      </w:r>
      <w:r w:rsidR="00A72811">
        <w:rPr>
          <w:rFonts w:ascii="Arial Narrow" w:hAnsi="Arial Narrow"/>
        </w:rPr>
        <w:t>der Planzeichnung als rote Fläche dargestellten</w:t>
      </w:r>
      <w:r>
        <w:rPr>
          <w:rFonts w:ascii="Arial Narrow" w:hAnsi="Arial Narrow"/>
        </w:rPr>
        <w:t xml:space="preserve"> Bereiche kennzeichnen den jeweiligen Korridor zur Errichtung von Bauwerken zur Überquerung des Gewässers „Klein </w:t>
      </w:r>
      <w:proofErr w:type="spellStart"/>
      <w:r>
        <w:rPr>
          <w:rFonts w:ascii="Arial Narrow" w:hAnsi="Arial Narrow"/>
        </w:rPr>
        <w:t>Laubuscher</w:t>
      </w:r>
      <w:proofErr w:type="spellEnd"/>
      <w:r>
        <w:rPr>
          <w:rFonts w:ascii="Arial Narrow" w:hAnsi="Arial Narrow"/>
        </w:rPr>
        <w:t xml:space="preserve"> Graben A“.</w:t>
      </w:r>
    </w:p>
    <w:p w:rsidR="001A2A8F" w:rsidRDefault="001A2A8F" w:rsidP="001A2A8F">
      <w:pPr>
        <w:rPr>
          <w:sz w:val="24"/>
          <w:szCs w:val="24"/>
          <w:u w:val="single"/>
        </w:rPr>
      </w:pPr>
    </w:p>
    <w:p w:rsidR="00345ECF" w:rsidRPr="00A72811" w:rsidRDefault="001A2A8F" w:rsidP="00345ECF">
      <w:pPr>
        <w:rPr>
          <w:b/>
          <w:sz w:val="24"/>
          <w:szCs w:val="24"/>
        </w:rPr>
      </w:pPr>
      <w:r>
        <w:rPr>
          <w:sz w:val="24"/>
          <w:szCs w:val="24"/>
          <w:u w:val="single"/>
        </w:rPr>
        <w:t>2</w:t>
      </w:r>
      <w:r w:rsidR="00345ECF" w:rsidRPr="001A2A8F">
        <w:rPr>
          <w:sz w:val="24"/>
          <w:szCs w:val="24"/>
          <w:u w:val="single"/>
        </w:rPr>
        <w:t xml:space="preserve">. </w:t>
      </w:r>
      <w:r w:rsidR="004E4A4F" w:rsidRPr="001A2A8F">
        <w:rPr>
          <w:sz w:val="24"/>
          <w:szCs w:val="24"/>
          <w:u w:val="single"/>
        </w:rPr>
        <w:t>Bergbau</w:t>
      </w:r>
      <w:r w:rsidR="004E4A4F" w:rsidRPr="001A2A8F">
        <w:rPr>
          <w:sz w:val="24"/>
          <w:szCs w:val="24"/>
          <w:u w:val="single"/>
        </w:rPr>
        <w:br/>
      </w:r>
      <w:r w:rsidR="004E4A4F" w:rsidRPr="001A2A8F">
        <w:rPr>
          <w:sz w:val="24"/>
          <w:szCs w:val="24"/>
        </w:rPr>
        <w:t>Das Gebiet liegt in einem vom Bergbau beeinflussten Gebiet. Es wird empfohlen, für geplante Baumaßnahmen ein Baugrundgutachten erstellen zu lassen, welches die Folgen des Grundwasserwiederanstieges einschließlich Wasserchemismus beachtet. Die Ergebnisse dieses Gutachtens und die geplante Tragwerkskonstruktion soll der LMBV mbH, Arbeitsgruppe Bergschadensmanagement gemäß §§ 110, 113 Bundesberggesetz sowie der unteren Bauaufsichtsbehörde mit den Bauvorlagen vorgelegt werden.</w:t>
      </w:r>
    </w:p>
    <w:p w:rsidR="008265A0" w:rsidRPr="00D54153" w:rsidRDefault="001A2A8F" w:rsidP="00D54153">
      <w:pPr>
        <w:tabs>
          <w:tab w:val="left" w:pos="426"/>
        </w:tabs>
        <w:rPr>
          <w:sz w:val="24"/>
          <w:szCs w:val="24"/>
        </w:rPr>
      </w:pPr>
      <w:r>
        <w:rPr>
          <w:sz w:val="24"/>
          <w:szCs w:val="24"/>
          <w:u w:val="single"/>
        </w:rPr>
        <w:t>3</w:t>
      </w:r>
      <w:r w:rsidR="004E4A4F" w:rsidRPr="008265A0">
        <w:rPr>
          <w:sz w:val="24"/>
          <w:szCs w:val="24"/>
          <w:u w:val="single"/>
        </w:rPr>
        <w:t>. Bodenfunde</w:t>
      </w:r>
      <w:r w:rsidR="004E4A4F" w:rsidRPr="008265A0">
        <w:rPr>
          <w:sz w:val="24"/>
          <w:szCs w:val="24"/>
        </w:rPr>
        <w:br/>
      </w:r>
      <w:r w:rsidR="00D54153">
        <w:rPr>
          <w:sz w:val="24"/>
          <w:szCs w:val="24"/>
        </w:rPr>
        <w:t>Bei Bodenfunden besteht gemäß § 20 des Sächsischen Gesetzes zum Schutz und zur Pflege der Kulturdenkmale im Freistaat Sachsen Meldepflicht sowie Erhaltungs- und Sicherungspflicht.</w:t>
      </w:r>
      <w:r w:rsidR="00D54153">
        <w:rPr>
          <w:sz w:val="24"/>
          <w:szCs w:val="24"/>
        </w:rPr>
        <w:br/>
      </w:r>
    </w:p>
    <w:p w:rsidR="001A2A8F" w:rsidRDefault="001A2A8F" w:rsidP="00813754">
      <w:pPr>
        <w:pStyle w:val="Default"/>
        <w:rPr>
          <w:rFonts w:ascii="Arial Narrow" w:hAnsi="Arial Narrow"/>
        </w:rPr>
      </w:pPr>
      <w:r>
        <w:rPr>
          <w:rFonts w:ascii="Arial Narrow" w:hAnsi="Arial Narrow"/>
          <w:u w:val="single"/>
        </w:rPr>
        <w:t>4.</w:t>
      </w:r>
      <w:r w:rsidR="004E4A4F" w:rsidRPr="009F0ABD">
        <w:rPr>
          <w:rFonts w:ascii="Arial Narrow" w:hAnsi="Arial Narrow"/>
          <w:u w:val="single"/>
        </w:rPr>
        <w:t xml:space="preserve"> Bohrungen geologische Untersuchungen</w:t>
      </w:r>
      <w:r w:rsidR="004E4A4F" w:rsidRPr="009F0ABD">
        <w:rPr>
          <w:rFonts w:ascii="Arial Narrow" w:hAnsi="Arial Narrow"/>
        </w:rPr>
        <w:br/>
        <w:t xml:space="preserve">Sofern Bohrungen niedergebracht werden, besteht Bohranzeige- und Bohrergebnismitteilungspflicht </w:t>
      </w:r>
      <w:r w:rsidR="004E4A4F" w:rsidRPr="009F0ABD">
        <w:rPr>
          <w:rFonts w:ascii="Arial Narrow" w:hAnsi="Arial Narrow"/>
        </w:rPr>
        <w:lastRenderedPageBreak/>
        <w:t>gegenüber dem Landesamt für Umwelt, Landwirtschaft und Geologie.</w:t>
      </w:r>
      <w:r w:rsidR="009F0ABD" w:rsidRPr="009F0ABD">
        <w:rPr>
          <w:rFonts w:ascii="Arial Narrow" w:hAnsi="Arial Narrow"/>
        </w:rPr>
        <w:br/>
        <w:t>Aufgrund der Verabschiedung des neuen Strahlenschutzgesetztes und der novellierten Strahlenschutzverordnung gelten seit dem 31.12.2018 erweiterte Regelungen zum Schutz vor Radon. Wer ein Gebäude mit Aufenthaltsräumen oder Arbeitsplätzen errichtet, hat geeignete Maßnahmen zu treffen, um den Zutritt von Radon aus dem Baugrund zu verhindern oder erheblich zu erschweren. Diese Pflicht gilt als erfüllt, wenn die nach den allgemein anerkannten Regeln der Technik erforderlichen Maßnahmen zum Feuchteschutz eingehalten werden.</w:t>
      </w:r>
    </w:p>
    <w:sectPr w:rsidR="001A2A8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061" w:rsidRDefault="00600061" w:rsidP="00600061">
      <w:pPr>
        <w:spacing w:after="0" w:line="240" w:lineRule="auto"/>
      </w:pPr>
      <w:r>
        <w:separator/>
      </w:r>
    </w:p>
  </w:endnote>
  <w:endnote w:type="continuationSeparator" w:id="0">
    <w:p w:rsidR="00600061" w:rsidRDefault="00600061" w:rsidP="0060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061" w:rsidRDefault="00600061" w:rsidP="00600061">
      <w:pPr>
        <w:spacing w:after="0" w:line="240" w:lineRule="auto"/>
      </w:pPr>
      <w:r>
        <w:separator/>
      </w:r>
    </w:p>
  </w:footnote>
  <w:footnote w:type="continuationSeparator" w:id="0">
    <w:p w:rsidR="00600061" w:rsidRDefault="00600061" w:rsidP="00600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88002"/>
      <w:docPartObj>
        <w:docPartGallery w:val="Page Numbers (Top of Page)"/>
        <w:docPartUnique/>
      </w:docPartObj>
    </w:sdtPr>
    <w:sdtEndPr/>
    <w:sdtContent>
      <w:p w:rsidR="00600061" w:rsidRDefault="00600061">
        <w:pPr>
          <w:pStyle w:val="Kopfzeile"/>
          <w:jc w:val="center"/>
        </w:pPr>
        <w:r>
          <w:fldChar w:fldCharType="begin"/>
        </w:r>
        <w:r>
          <w:instrText>PAGE   \* MERGEFORMAT</w:instrText>
        </w:r>
        <w:r>
          <w:fldChar w:fldCharType="separate"/>
        </w:r>
        <w:r w:rsidR="00B31423">
          <w:rPr>
            <w:noProof/>
          </w:rPr>
          <w:t>2</w:t>
        </w:r>
        <w:r>
          <w:fldChar w:fldCharType="end"/>
        </w:r>
      </w:p>
    </w:sdtContent>
  </w:sdt>
  <w:p w:rsidR="00600061" w:rsidRDefault="006000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307E"/>
    <w:multiLevelType w:val="hybridMultilevel"/>
    <w:tmpl w:val="262A9C3A"/>
    <w:lvl w:ilvl="0" w:tplc="4ACAAA8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6D32CE"/>
    <w:multiLevelType w:val="hybridMultilevel"/>
    <w:tmpl w:val="9EBE745A"/>
    <w:lvl w:ilvl="0" w:tplc="A07411BC">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E6419C"/>
    <w:multiLevelType w:val="hybridMultilevel"/>
    <w:tmpl w:val="5BCAC8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662219"/>
    <w:multiLevelType w:val="hybridMultilevel"/>
    <w:tmpl w:val="98D469A8"/>
    <w:lvl w:ilvl="0" w:tplc="86D88BFA">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EB54FE"/>
    <w:multiLevelType w:val="hybridMultilevel"/>
    <w:tmpl w:val="D090CA08"/>
    <w:lvl w:ilvl="0" w:tplc="67000B24">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1B7165E"/>
    <w:multiLevelType w:val="hybridMultilevel"/>
    <w:tmpl w:val="68A4D5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926E92"/>
    <w:multiLevelType w:val="hybridMultilevel"/>
    <w:tmpl w:val="46429F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ED43256"/>
    <w:multiLevelType w:val="hybridMultilevel"/>
    <w:tmpl w:val="7F4AD984"/>
    <w:lvl w:ilvl="0" w:tplc="6316BBA0">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E5F701A"/>
    <w:multiLevelType w:val="hybridMultilevel"/>
    <w:tmpl w:val="BB0A09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2D34946"/>
    <w:multiLevelType w:val="hybridMultilevel"/>
    <w:tmpl w:val="23DABB04"/>
    <w:lvl w:ilvl="0" w:tplc="9036F5CC">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86D421F"/>
    <w:multiLevelType w:val="hybridMultilevel"/>
    <w:tmpl w:val="4A0E5020"/>
    <w:lvl w:ilvl="0" w:tplc="7480BD28">
      <w:start w:val="1"/>
      <w:numFmt w:val="decimal"/>
      <w:lvlText w:val="%1."/>
      <w:lvlJc w:val="left"/>
      <w:pPr>
        <w:ind w:left="720" w:hanging="360"/>
      </w:pPr>
      <w:rPr>
        <w:rFonts w:hint="default"/>
        <w:i w:val="0"/>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0"/>
  </w:num>
  <w:num w:numId="5">
    <w:abstractNumId w:val="8"/>
  </w:num>
  <w:num w:numId="6">
    <w:abstractNumId w:val="6"/>
  </w:num>
  <w:num w:numId="7">
    <w:abstractNumId w:val="9"/>
  </w:num>
  <w:num w:numId="8">
    <w:abstractNumId w:val="3"/>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D1"/>
    <w:rsid w:val="00030DC3"/>
    <w:rsid w:val="00106753"/>
    <w:rsid w:val="00121AFC"/>
    <w:rsid w:val="00136F62"/>
    <w:rsid w:val="00192E49"/>
    <w:rsid w:val="001A2A8F"/>
    <w:rsid w:val="001A2D02"/>
    <w:rsid w:val="002061D1"/>
    <w:rsid w:val="002909DD"/>
    <w:rsid w:val="002B3CF7"/>
    <w:rsid w:val="002D0B57"/>
    <w:rsid w:val="00345ECF"/>
    <w:rsid w:val="00372262"/>
    <w:rsid w:val="00376092"/>
    <w:rsid w:val="003850F8"/>
    <w:rsid w:val="00453342"/>
    <w:rsid w:val="00466E55"/>
    <w:rsid w:val="004A494F"/>
    <w:rsid w:val="004C1BDD"/>
    <w:rsid w:val="004E4A4F"/>
    <w:rsid w:val="00530159"/>
    <w:rsid w:val="00532C3A"/>
    <w:rsid w:val="00532C3F"/>
    <w:rsid w:val="005F3509"/>
    <w:rsid w:val="00600061"/>
    <w:rsid w:val="006478D8"/>
    <w:rsid w:val="00665ACA"/>
    <w:rsid w:val="006B0D22"/>
    <w:rsid w:val="00750A88"/>
    <w:rsid w:val="00767B33"/>
    <w:rsid w:val="00775FFB"/>
    <w:rsid w:val="007D0723"/>
    <w:rsid w:val="008054ED"/>
    <w:rsid w:val="00813754"/>
    <w:rsid w:val="008265A0"/>
    <w:rsid w:val="00856E8E"/>
    <w:rsid w:val="00897D7B"/>
    <w:rsid w:val="009A720B"/>
    <w:rsid w:val="009B5B74"/>
    <w:rsid w:val="009D2758"/>
    <w:rsid w:val="009D324E"/>
    <w:rsid w:val="009F0ABD"/>
    <w:rsid w:val="00A14CC2"/>
    <w:rsid w:val="00A72811"/>
    <w:rsid w:val="00AC2AA7"/>
    <w:rsid w:val="00B15F31"/>
    <w:rsid w:val="00B31423"/>
    <w:rsid w:val="00C03B79"/>
    <w:rsid w:val="00C10EFC"/>
    <w:rsid w:val="00C70601"/>
    <w:rsid w:val="00D54153"/>
    <w:rsid w:val="00D93A01"/>
    <w:rsid w:val="00DB10BB"/>
    <w:rsid w:val="00DB338C"/>
    <w:rsid w:val="00E60CAE"/>
    <w:rsid w:val="00E713C5"/>
    <w:rsid w:val="00EB7C3B"/>
    <w:rsid w:val="00F4794D"/>
    <w:rsid w:val="00F66650"/>
    <w:rsid w:val="00F7765D"/>
    <w:rsid w:val="00FB1F46"/>
    <w:rsid w:val="00FB2595"/>
    <w:rsid w:val="00FF6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F6F3"/>
  <w15:chartTrackingRefBased/>
  <w15:docId w15:val="{4A4CAC9F-4064-4C44-B8D1-F61DBD86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765D"/>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0D22"/>
    <w:pPr>
      <w:ind w:left="720"/>
      <w:contextualSpacing/>
    </w:pPr>
  </w:style>
  <w:style w:type="paragraph" w:styleId="Sprechblasentext">
    <w:name w:val="Balloon Text"/>
    <w:basedOn w:val="Standard"/>
    <w:link w:val="SprechblasentextZchn"/>
    <w:uiPriority w:val="99"/>
    <w:semiHidden/>
    <w:unhideWhenUsed/>
    <w:rsid w:val="00F479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794D"/>
    <w:rPr>
      <w:rFonts w:ascii="Segoe UI" w:hAnsi="Segoe UI" w:cs="Segoe UI"/>
      <w:sz w:val="18"/>
      <w:szCs w:val="18"/>
    </w:rPr>
  </w:style>
  <w:style w:type="paragraph" w:styleId="Textkrper">
    <w:name w:val="Body Text"/>
    <w:basedOn w:val="Standard"/>
    <w:link w:val="TextkrperZchn"/>
    <w:uiPriority w:val="1"/>
    <w:qFormat/>
    <w:rsid w:val="008265A0"/>
    <w:pPr>
      <w:widowControl w:val="0"/>
      <w:spacing w:after="0" w:line="240" w:lineRule="auto"/>
      <w:ind w:left="101"/>
    </w:pPr>
    <w:rPr>
      <w:rFonts w:ascii="Arial" w:eastAsia="Arial" w:hAnsi="Arial"/>
      <w:lang w:val="en-US"/>
    </w:rPr>
  </w:style>
  <w:style w:type="character" w:customStyle="1" w:styleId="TextkrperZchn">
    <w:name w:val="Textkörper Zchn"/>
    <w:basedOn w:val="Absatz-Standardschriftart"/>
    <w:link w:val="Textkrper"/>
    <w:uiPriority w:val="1"/>
    <w:rsid w:val="008265A0"/>
    <w:rPr>
      <w:rFonts w:ascii="Arial" w:eastAsia="Arial" w:hAnsi="Arial"/>
      <w:lang w:val="en-US"/>
    </w:rPr>
  </w:style>
  <w:style w:type="paragraph" w:customStyle="1" w:styleId="Default">
    <w:name w:val="Default"/>
    <w:rsid w:val="009F0ABD"/>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39"/>
    <w:rsid w:val="001A2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000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0061"/>
    <w:rPr>
      <w:rFonts w:ascii="Arial Narrow" w:hAnsi="Arial Narrow"/>
    </w:rPr>
  </w:style>
  <w:style w:type="paragraph" w:styleId="Fuzeile">
    <w:name w:val="footer"/>
    <w:basedOn w:val="Standard"/>
    <w:link w:val="FuzeileZchn"/>
    <w:uiPriority w:val="99"/>
    <w:unhideWhenUsed/>
    <w:rsid w:val="006000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0061"/>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8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7DB8D-66E4-4B6E-B28E-E499C944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Stadtverwaltung Hoyerswerda</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Krupka, Heike</dc:creator>
  <cp:keywords/>
  <dc:description/>
  <cp:lastModifiedBy>Krupka, Heike</cp:lastModifiedBy>
  <cp:revision>12</cp:revision>
  <cp:lastPrinted>2023-01-19T08:21:00Z</cp:lastPrinted>
  <dcterms:created xsi:type="dcterms:W3CDTF">2023-01-16T12:43:00Z</dcterms:created>
  <dcterms:modified xsi:type="dcterms:W3CDTF">2023-01-19T14:00:00Z</dcterms:modified>
</cp:coreProperties>
</file>