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D1" w:rsidRDefault="006B0D22">
      <w:pPr>
        <w:rPr>
          <w:b/>
          <w:sz w:val="24"/>
          <w:szCs w:val="24"/>
        </w:rPr>
      </w:pPr>
      <w:r>
        <w:rPr>
          <w:b/>
          <w:sz w:val="24"/>
          <w:szCs w:val="24"/>
        </w:rPr>
        <w:t xml:space="preserve">Teil B: </w:t>
      </w:r>
      <w:r w:rsidRPr="006B0D22">
        <w:rPr>
          <w:b/>
          <w:sz w:val="24"/>
          <w:szCs w:val="24"/>
        </w:rPr>
        <w:t>Textliche Festsetzungen</w:t>
      </w:r>
    </w:p>
    <w:p w:rsidR="006B0D22" w:rsidRDefault="006B0D22" w:rsidP="00C81660">
      <w:pPr>
        <w:tabs>
          <w:tab w:val="left" w:pos="426"/>
        </w:tabs>
        <w:rPr>
          <w:b/>
          <w:sz w:val="24"/>
          <w:szCs w:val="24"/>
        </w:rPr>
      </w:pPr>
      <w:r w:rsidRPr="006B0D22">
        <w:rPr>
          <w:b/>
          <w:sz w:val="24"/>
          <w:szCs w:val="24"/>
        </w:rPr>
        <w:t>I.</w:t>
      </w:r>
      <w:r w:rsidR="00C81660">
        <w:rPr>
          <w:b/>
          <w:sz w:val="24"/>
          <w:szCs w:val="24"/>
        </w:rPr>
        <w:tab/>
      </w:r>
      <w:r>
        <w:rPr>
          <w:b/>
          <w:sz w:val="24"/>
          <w:szCs w:val="24"/>
        </w:rPr>
        <w:t>Bauplanungsrechtliche Festsetzungen</w:t>
      </w:r>
    </w:p>
    <w:p w:rsidR="00C81660" w:rsidRDefault="006B0D22" w:rsidP="00C81660">
      <w:pPr>
        <w:tabs>
          <w:tab w:val="left" w:pos="426"/>
        </w:tabs>
        <w:ind w:left="426" w:hanging="426"/>
        <w:rPr>
          <w:sz w:val="24"/>
          <w:szCs w:val="24"/>
          <w:u w:val="single"/>
        </w:rPr>
      </w:pPr>
      <w:r w:rsidRPr="006B0D22">
        <w:rPr>
          <w:sz w:val="24"/>
          <w:szCs w:val="24"/>
          <w:u w:val="single"/>
        </w:rPr>
        <w:t>1.</w:t>
      </w:r>
      <w:r w:rsidRPr="00C81660">
        <w:rPr>
          <w:sz w:val="24"/>
          <w:szCs w:val="24"/>
          <w:u w:val="single"/>
        </w:rPr>
        <w:t xml:space="preserve"> </w:t>
      </w:r>
      <w:r w:rsidR="00C81660">
        <w:rPr>
          <w:sz w:val="24"/>
          <w:szCs w:val="24"/>
          <w:u w:val="single"/>
        </w:rPr>
        <w:tab/>
      </w:r>
      <w:r w:rsidRPr="006B0D22">
        <w:rPr>
          <w:sz w:val="24"/>
          <w:szCs w:val="24"/>
          <w:u w:val="single"/>
        </w:rPr>
        <w:t>Art der baulichen Nutzung</w:t>
      </w:r>
      <w:r w:rsidR="004E4A4F">
        <w:rPr>
          <w:sz w:val="24"/>
          <w:szCs w:val="24"/>
          <w:u w:val="single"/>
        </w:rPr>
        <w:t xml:space="preserve"> (§ 9 Abs. 1 Nr. 1 BauGB)</w:t>
      </w:r>
    </w:p>
    <w:p w:rsidR="002061D1" w:rsidRDefault="00523868" w:rsidP="00523868">
      <w:pPr>
        <w:tabs>
          <w:tab w:val="left" w:pos="426"/>
        </w:tabs>
        <w:rPr>
          <w:sz w:val="24"/>
          <w:szCs w:val="24"/>
        </w:rPr>
      </w:pPr>
      <w:r>
        <w:rPr>
          <w:sz w:val="24"/>
          <w:szCs w:val="24"/>
        </w:rPr>
        <w:tab/>
      </w:r>
      <w:r w:rsidR="00C81660">
        <w:rPr>
          <w:sz w:val="24"/>
          <w:szCs w:val="24"/>
        </w:rPr>
        <w:t>Die im allgemeinen Wohngebiet nach § 4</w:t>
      </w:r>
      <w:r w:rsidR="006B0D22" w:rsidRPr="006B0D22">
        <w:rPr>
          <w:sz w:val="24"/>
          <w:szCs w:val="24"/>
        </w:rPr>
        <w:t xml:space="preserve"> </w:t>
      </w:r>
      <w:r w:rsidR="00C81660">
        <w:rPr>
          <w:sz w:val="24"/>
          <w:szCs w:val="24"/>
        </w:rPr>
        <w:t xml:space="preserve">Abs. 3 BauNVO ausnahmsweise zulässigen Nutzungen </w:t>
      </w:r>
      <w:r>
        <w:rPr>
          <w:sz w:val="24"/>
          <w:szCs w:val="24"/>
        </w:rPr>
        <w:tab/>
      </w:r>
      <w:r w:rsidR="00C81660">
        <w:rPr>
          <w:sz w:val="24"/>
          <w:szCs w:val="24"/>
        </w:rPr>
        <w:t xml:space="preserve">sind im Plangebiet nicht </w:t>
      </w:r>
      <w:r w:rsidR="006B0D22" w:rsidRPr="006B0D22">
        <w:rPr>
          <w:sz w:val="24"/>
          <w:szCs w:val="24"/>
        </w:rPr>
        <w:t>zulässig.</w:t>
      </w:r>
    </w:p>
    <w:p w:rsidR="00C70601" w:rsidRDefault="00C70601" w:rsidP="006B0D22">
      <w:pPr>
        <w:rPr>
          <w:sz w:val="24"/>
          <w:szCs w:val="24"/>
        </w:rPr>
      </w:pPr>
    </w:p>
    <w:p w:rsidR="00C81660" w:rsidRDefault="00C10EFC" w:rsidP="00C81660">
      <w:pPr>
        <w:tabs>
          <w:tab w:val="left" w:pos="426"/>
        </w:tabs>
        <w:ind w:left="426" w:hanging="426"/>
        <w:rPr>
          <w:sz w:val="24"/>
          <w:szCs w:val="24"/>
          <w:u w:val="single"/>
        </w:rPr>
      </w:pPr>
      <w:r w:rsidRPr="00C10EFC">
        <w:rPr>
          <w:sz w:val="24"/>
          <w:szCs w:val="24"/>
          <w:u w:val="single"/>
        </w:rPr>
        <w:t xml:space="preserve">2. </w:t>
      </w:r>
      <w:r w:rsidR="00C81660">
        <w:rPr>
          <w:sz w:val="24"/>
          <w:szCs w:val="24"/>
          <w:u w:val="single"/>
        </w:rPr>
        <w:tab/>
      </w:r>
      <w:r w:rsidRPr="00C10EFC">
        <w:rPr>
          <w:sz w:val="24"/>
          <w:szCs w:val="24"/>
          <w:u w:val="single"/>
        </w:rPr>
        <w:t>Maß der baulichen Nutzung</w:t>
      </w:r>
      <w:r w:rsidR="004E4A4F">
        <w:rPr>
          <w:sz w:val="24"/>
          <w:szCs w:val="24"/>
          <w:u w:val="single"/>
        </w:rPr>
        <w:t xml:space="preserve"> (§ 9 Abs. 1 Nr. 2 BauGB)</w:t>
      </w:r>
    </w:p>
    <w:p w:rsidR="00523868" w:rsidRDefault="00523868" w:rsidP="00523868">
      <w:pPr>
        <w:tabs>
          <w:tab w:val="left" w:pos="426"/>
        </w:tabs>
        <w:rPr>
          <w:sz w:val="24"/>
          <w:szCs w:val="24"/>
        </w:rPr>
      </w:pPr>
      <w:r>
        <w:rPr>
          <w:sz w:val="24"/>
          <w:szCs w:val="24"/>
        </w:rPr>
        <w:t>2.1</w:t>
      </w:r>
      <w:r>
        <w:rPr>
          <w:sz w:val="24"/>
          <w:szCs w:val="24"/>
        </w:rPr>
        <w:tab/>
      </w:r>
      <w:r w:rsidR="00C10EFC">
        <w:rPr>
          <w:sz w:val="24"/>
          <w:szCs w:val="24"/>
        </w:rPr>
        <w:t xml:space="preserve">Die überbaubare Grundstücksfläche wird durch die Baugrenzen festgelegt. </w:t>
      </w:r>
    </w:p>
    <w:p w:rsidR="004E4A4F" w:rsidRDefault="00523868" w:rsidP="00FB6017">
      <w:pPr>
        <w:tabs>
          <w:tab w:val="left" w:pos="426"/>
        </w:tabs>
        <w:rPr>
          <w:sz w:val="24"/>
          <w:szCs w:val="24"/>
        </w:rPr>
      </w:pPr>
      <w:r>
        <w:rPr>
          <w:sz w:val="24"/>
          <w:szCs w:val="24"/>
        </w:rPr>
        <w:t>2.2</w:t>
      </w:r>
      <w:r>
        <w:rPr>
          <w:sz w:val="24"/>
          <w:szCs w:val="24"/>
        </w:rPr>
        <w:tab/>
      </w:r>
      <w:r w:rsidR="00C10EFC">
        <w:rPr>
          <w:sz w:val="24"/>
          <w:szCs w:val="24"/>
        </w:rPr>
        <w:t xml:space="preserve">Nebenanlagen i. S. §§ 12, 14 BauNVO sind auch außerhalb der überbaubaren Grundstücksflächen </w:t>
      </w:r>
      <w:r w:rsidR="00FB6017">
        <w:rPr>
          <w:sz w:val="24"/>
          <w:szCs w:val="24"/>
        </w:rPr>
        <w:tab/>
      </w:r>
      <w:r w:rsidR="00C10EFC">
        <w:rPr>
          <w:sz w:val="24"/>
          <w:szCs w:val="24"/>
        </w:rPr>
        <w:t>zulässig, jedoch nicht in den ausgewiesenen Grün</w:t>
      </w:r>
      <w:r w:rsidR="004E4A4F">
        <w:rPr>
          <w:sz w:val="24"/>
          <w:szCs w:val="24"/>
        </w:rPr>
        <w:t>flächen.</w:t>
      </w:r>
    </w:p>
    <w:p w:rsidR="00C81660" w:rsidRDefault="00523868" w:rsidP="00523868">
      <w:pPr>
        <w:tabs>
          <w:tab w:val="left" w:pos="426"/>
        </w:tabs>
        <w:rPr>
          <w:sz w:val="24"/>
          <w:szCs w:val="24"/>
        </w:rPr>
      </w:pPr>
      <w:r>
        <w:rPr>
          <w:sz w:val="24"/>
          <w:szCs w:val="24"/>
        </w:rPr>
        <w:t>2.3</w:t>
      </w:r>
      <w:r>
        <w:rPr>
          <w:sz w:val="24"/>
          <w:szCs w:val="24"/>
        </w:rPr>
        <w:tab/>
      </w:r>
      <w:r w:rsidR="00C70601">
        <w:rPr>
          <w:sz w:val="24"/>
          <w:szCs w:val="24"/>
        </w:rPr>
        <w:t>Der Abstand der Gebäude zur Straßenverkehrsfläche muss mindestens 5 m betragen.</w:t>
      </w:r>
    </w:p>
    <w:p w:rsidR="00C81660" w:rsidRDefault="00C81660" w:rsidP="00C81660">
      <w:pPr>
        <w:rPr>
          <w:sz w:val="24"/>
          <w:szCs w:val="24"/>
        </w:rPr>
      </w:pPr>
    </w:p>
    <w:p w:rsidR="00C81660" w:rsidRDefault="004E4A4F" w:rsidP="00C81660">
      <w:pPr>
        <w:tabs>
          <w:tab w:val="left" w:pos="426"/>
        </w:tabs>
        <w:ind w:left="426" w:hanging="426"/>
        <w:rPr>
          <w:sz w:val="24"/>
          <w:szCs w:val="24"/>
          <w:u w:val="single"/>
        </w:rPr>
      </w:pPr>
      <w:r w:rsidRPr="004E4A4F">
        <w:rPr>
          <w:sz w:val="24"/>
          <w:szCs w:val="24"/>
          <w:u w:val="single"/>
        </w:rPr>
        <w:t xml:space="preserve">3. </w:t>
      </w:r>
      <w:r w:rsidR="00C81660">
        <w:rPr>
          <w:sz w:val="24"/>
          <w:szCs w:val="24"/>
          <w:u w:val="single"/>
        </w:rPr>
        <w:tab/>
      </w:r>
      <w:r w:rsidRPr="004E4A4F">
        <w:rPr>
          <w:sz w:val="24"/>
          <w:szCs w:val="24"/>
          <w:u w:val="single"/>
        </w:rPr>
        <w:t xml:space="preserve">Maßnahmen zum Schutz, zur Pflege und zur Entwicklung von </w:t>
      </w:r>
      <w:r>
        <w:rPr>
          <w:sz w:val="24"/>
          <w:szCs w:val="24"/>
          <w:u w:val="single"/>
        </w:rPr>
        <w:t xml:space="preserve">Boden, </w:t>
      </w:r>
      <w:r w:rsidRPr="004E4A4F">
        <w:rPr>
          <w:sz w:val="24"/>
          <w:szCs w:val="24"/>
          <w:u w:val="single"/>
        </w:rPr>
        <w:t>Natur und Landschaft</w:t>
      </w:r>
      <w:r>
        <w:rPr>
          <w:sz w:val="24"/>
          <w:szCs w:val="24"/>
          <w:u w:val="single"/>
        </w:rPr>
        <w:t xml:space="preserve"> </w:t>
      </w:r>
      <w:r>
        <w:rPr>
          <w:sz w:val="24"/>
          <w:szCs w:val="24"/>
          <w:u w:val="single"/>
        </w:rPr>
        <w:br/>
        <w:t>(§ 9 Abs. 1 Nr. 20, 25 BauGB)</w:t>
      </w:r>
    </w:p>
    <w:p w:rsidR="004E4A4F" w:rsidRPr="00C81660" w:rsidRDefault="00C81660" w:rsidP="00C81660">
      <w:pPr>
        <w:tabs>
          <w:tab w:val="left" w:pos="426"/>
        </w:tabs>
        <w:ind w:left="426" w:hanging="426"/>
        <w:rPr>
          <w:sz w:val="24"/>
          <w:szCs w:val="24"/>
        </w:rPr>
      </w:pPr>
      <w:r>
        <w:rPr>
          <w:sz w:val="24"/>
          <w:szCs w:val="24"/>
        </w:rPr>
        <w:t xml:space="preserve">3.1 </w:t>
      </w:r>
      <w:r>
        <w:rPr>
          <w:sz w:val="24"/>
          <w:szCs w:val="24"/>
        </w:rPr>
        <w:tab/>
      </w:r>
      <w:r w:rsidR="004E4A4F">
        <w:rPr>
          <w:sz w:val="24"/>
          <w:szCs w:val="24"/>
        </w:rPr>
        <w:t>Das anfallende Niederschlagswasser ist auf dem Grundstück des Anfalls in geeigneten Behältern als Brauchwasser z. B. zur Gartenbewässerung zurückzuhalten. Überschüssiges Niederschlagswasser ist breitflächig auf den Grundstücken und den angrenzenden Grünflächen zu versickern.</w:t>
      </w:r>
      <w:r w:rsidR="006F1EDC">
        <w:rPr>
          <w:sz w:val="24"/>
          <w:szCs w:val="24"/>
        </w:rPr>
        <w:t xml:space="preserve"> Die Versickerungsfähigkeit des Bodens ist zu prüfen.</w:t>
      </w:r>
    </w:p>
    <w:p w:rsidR="004E4A4F" w:rsidRDefault="00C81660" w:rsidP="00C81660">
      <w:pPr>
        <w:tabs>
          <w:tab w:val="left" w:pos="426"/>
        </w:tabs>
        <w:ind w:left="426" w:hanging="426"/>
        <w:rPr>
          <w:sz w:val="24"/>
          <w:szCs w:val="24"/>
        </w:rPr>
      </w:pPr>
      <w:r>
        <w:rPr>
          <w:sz w:val="24"/>
          <w:szCs w:val="24"/>
        </w:rPr>
        <w:t xml:space="preserve">3.2 </w:t>
      </w:r>
      <w:r>
        <w:rPr>
          <w:sz w:val="24"/>
          <w:szCs w:val="24"/>
        </w:rPr>
        <w:tab/>
      </w:r>
      <w:r w:rsidR="002061D1" w:rsidRPr="002061D1">
        <w:rPr>
          <w:sz w:val="24"/>
          <w:szCs w:val="24"/>
        </w:rPr>
        <w:t>Die nach Ausnutzung der GRZ verbleibenden Grundstücksflächen sind zu begrünen und zu pflegen.</w:t>
      </w:r>
    </w:p>
    <w:p w:rsidR="00C81660" w:rsidRDefault="00C81660" w:rsidP="00C81660">
      <w:pPr>
        <w:tabs>
          <w:tab w:val="left" w:pos="426"/>
        </w:tabs>
        <w:ind w:left="426" w:hanging="426"/>
        <w:rPr>
          <w:sz w:val="24"/>
          <w:szCs w:val="24"/>
        </w:rPr>
      </w:pPr>
      <w:r>
        <w:rPr>
          <w:sz w:val="24"/>
          <w:szCs w:val="24"/>
        </w:rPr>
        <w:t xml:space="preserve">3.3 </w:t>
      </w:r>
      <w:r>
        <w:rPr>
          <w:sz w:val="24"/>
          <w:szCs w:val="24"/>
        </w:rPr>
        <w:tab/>
      </w:r>
      <w:r w:rsidR="002D0B57">
        <w:rPr>
          <w:sz w:val="24"/>
          <w:szCs w:val="24"/>
        </w:rPr>
        <w:t>Die in der Planzeichnung festgesetzten erhaltenswerten Bäume sind zu erhalten und</w:t>
      </w:r>
      <w:r w:rsidR="00532C3A">
        <w:rPr>
          <w:sz w:val="24"/>
          <w:szCs w:val="24"/>
        </w:rPr>
        <w:t xml:space="preserve"> bei Ausfall durch </w:t>
      </w:r>
      <w:r w:rsidR="002D0B57">
        <w:rPr>
          <w:sz w:val="24"/>
          <w:szCs w:val="24"/>
        </w:rPr>
        <w:t>Baumarten</w:t>
      </w:r>
      <w:r w:rsidR="00532C3A">
        <w:rPr>
          <w:sz w:val="24"/>
          <w:szCs w:val="24"/>
        </w:rPr>
        <w:t xml:space="preserve"> lt. Artenliste</w:t>
      </w:r>
      <w:r w:rsidR="002D0B57">
        <w:rPr>
          <w:sz w:val="24"/>
          <w:szCs w:val="24"/>
        </w:rPr>
        <w:t xml:space="preserve"> zu ersetzen.</w:t>
      </w:r>
    </w:p>
    <w:p w:rsidR="002D0B57" w:rsidRDefault="00C81660" w:rsidP="00C81660">
      <w:pPr>
        <w:tabs>
          <w:tab w:val="left" w:pos="426"/>
        </w:tabs>
        <w:ind w:left="426" w:hanging="426"/>
        <w:rPr>
          <w:sz w:val="24"/>
          <w:szCs w:val="24"/>
        </w:rPr>
      </w:pPr>
      <w:r>
        <w:rPr>
          <w:sz w:val="24"/>
          <w:szCs w:val="24"/>
        </w:rPr>
        <w:t xml:space="preserve">3.4 </w:t>
      </w:r>
      <w:r>
        <w:rPr>
          <w:sz w:val="24"/>
          <w:szCs w:val="24"/>
        </w:rPr>
        <w:tab/>
        <w:t>Im Allgemeinen Wohngebiet ist je Baugrundstück ein einheimischer Laub- oder Obstbaum</w:t>
      </w:r>
      <w:r w:rsidR="00236033">
        <w:rPr>
          <w:sz w:val="24"/>
          <w:szCs w:val="24"/>
        </w:rPr>
        <w:t xml:space="preserve"> zu pflanzen und dauerhaft zu erhalten. Die in der Planzeichnung festgesetzten erhaltenswerten Bäume werden zur Ermittlung der Anpflanzungen mitgezählt.</w:t>
      </w:r>
      <w:r>
        <w:rPr>
          <w:sz w:val="24"/>
          <w:szCs w:val="24"/>
        </w:rPr>
        <w:t xml:space="preserve"> Die</w:t>
      </w:r>
      <w:r w:rsidR="00523868">
        <w:rPr>
          <w:sz w:val="24"/>
          <w:szCs w:val="24"/>
        </w:rPr>
        <w:t xml:space="preserve"> Anpflanzungen sind spätestens zwei</w:t>
      </w:r>
      <w:r>
        <w:rPr>
          <w:sz w:val="24"/>
          <w:szCs w:val="24"/>
        </w:rPr>
        <w:t xml:space="preserve"> Jahre nach Fertigstellung des Bauvorhabens umzusetzen.</w:t>
      </w:r>
    </w:p>
    <w:p w:rsidR="00236033" w:rsidRDefault="00FB6017" w:rsidP="00C81660">
      <w:pPr>
        <w:tabs>
          <w:tab w:val="left" w:pos="426"/>
        </w:tabs>
        <w:ind w:left="426" w:hanging="426"/>
        <w:rPr>
          <w:sz w:val="24"/>
          <w:szCs w:val="24"/>
        </w:rPr>
      </w:pPr>
      <w:r>
        <w:rPr>
          <w:sz w:val="24"/>
          <w:szCs w:val="24"/>
        </w:rPr>
        <w:t>3.5</w:t>
      </w:r>
      <w:r w:rsidR="00C81660">
        <w:rPr>
          <w:sz w:val="24"/>
          <w:szCs w:val="24"/>
        </w:rPr>
        <w:t xml:space="preserve"> </w:t>
      </w:r>
      <w:r w:rsidR="00C81660">
        <w:rPr>
          <w:sz w:val="24"/>
          <w:szCs w:val="24"/>
        </w:rPr>
        <w:tab/>
      </w:r>
      <w:r w:rsidR="00236033">
        <w:rPr>
          <w:sz w:val="24"/>
          <w:szCs w:val="24"/>
        </w:rPr>
        <w:t>Im Plangebiet, vor</w:t>
      </w:r>
      <w:r w:rsidR="00F90A83">
        <w:rPr>
          <w:sz w:val="24"/>
          <w:szCs w:val="24"/>
        </w:rPr>
        <w:t>zugsweise innerhalb der</w:t>
      </w:r>
      <w:r w:rsidR="00236033">
        <w:rPr>
          <w:sz w:val="24"/>
          <w:szCs w:val="24"/>
        </w:rPr>
        <w:t xml:space="preserve"> </w:t>
      </w:r>
      <w:r w:rsidR="00F90A83">
        <w:rPr>
          <w:sz w:val="24"/>
          <w:szCs w:val="24"/>
        </w:rPr>
        <w:t>privaten Grünfläche</w:t>
      </w:r>
      <w:r w:rsidR="003D6600">
        <w:rPr>
          <w:sz w:val="24"/>
          <w:szCs w:val="24"/>
        </w:rPr>
        <w:t>n</w:t>
      </w:r>
      <w:r w:rsidR="00236033">
        <w:rPr>
          <w:sz w:val="24"/>
          <w:szCs w:val="24"/>
        </w:rPr>
        <w:t xml:space="preserve"> sind 3 Nistkästen für Meisen mit </w:t>
      </w:r>
      <w:r w:rsidR="00C81660">
        <w:rPr>
          <w:sz w:val="24"/>
          <w:szCs w:val="24"/>
        </w:rPr>
        <w:br/>
      </w:r>
      <w:r w:rsidR="00236033">
        <w:rPr>
          <w:sz w:val="24"/>
          <w:szCs w:val="24"/>
        </w:rPr>
        <w:t xml:space="preserve">32 </w:t>
      </w:r>
      <w:r w:rsidR="00C81660">
        <w:rPr>
          <w:sz w:val="24"/>
          <w:szCs w:val="24"/>
        </w:rPr>
        <w:t>mm</w:t>
      </w:r>
      <w:r w:rsidR="00236033">
        <w:rPr>
          <w:sz w:val="24"/>
          <w:szCs w:val="24"/>
        </w:rPr>
        <w:t xml:space="preserve"> Einfluglochdurchmesser, 2 Insektenhotels sowie 2 Nistkästen für Stare m</w:t>
      </w:r>
      <w:r w:rsidR="00C81660">
        <w:rPr>
          <w:sz w:val="24"/>
          <w:szCs w:val="24"/>
        </w:rPr>
        <w:t>it 45 mm</w:t>
      </w:r>
      <w:r w:rsidR="00236033">
        <w:rPr>
          <w:sz w:val="24"/>
          <w:szCs w:val="24"/>
        </w:rPr>
        <w:t xml:space="preserve"> Einflug</w:t>
      </w:r>
      <w:r w:rsidR="00C81660">
        <w:rPr>
          <w:sz w:val="24"/>
          <w:szCs w:val="24"/>
        </w:rPr>
        <w:t>loch</w:t>
      </w:r>
      <w:r w:rsidR="00236033">
        <w:rPr>
          <w:sz w:val="24"/>
          <w:szCs w:val="24"/>
        </w:rPr>
        <w:t>durchmesser anzubringen.</w:t>
      </w:r>
      <w:r w:rsidR="00C81660">
        <w:rPr>
          <w:sz w:val="24"/>
          <w:szCs w:val="24"/>
        </w:rPr>
        <w:t xml:space="preserve"> Diese Maßnahme ist als vorgezogene Ausgleichsmaßnahme </w:t>
      </w:r>
      <w:r w:rsidR="00C81660" w:rsidRPr="003D6600">
        <w:rPr>
          <w:sz w:val="24"/>
          <w:szCs w:val="24"/>
          <w:u w:val="single"/>
        </w:rPr>
        <w:t>vor Baubeginn</w:t>
      </w:r>
      <w:r w:rsidR="00C81660">
        <w:rPr>
          <w:sz w:val="24"/>
          <w:szCs w:val="24"/>
        </w:rPr>
        <w:t xml:space="preserve"> durchzuführen.</w:t>
      </w:r>
    </w:p>
    <w:p w:rsidR="00C81660" w:rsidRDefault="00FB6017" w:rsidP="00C81660">
      <w:pPr>
        <w:tabs>
          <w:tab w:val="left" w:pos="426"/>
        </w:tabs>
        <w:ind w:left="426" w:hanging="426"/>
        <w:rPr>
          <w:sz w:val="24"/>
          <w:szCs w:val="24"/>
        </w:rPr>
      </w:pPr>
      <w:r>
        <w:rPr>
          <w:sz w:val="24"/>
          <w:szCs w:val="24"/>
        </w:rPr>
        <w:t>3.6</w:t>
      </w:r>
      <w:r w:rsidR="00C81660">
        <w:rPr>
          <w:sz w:val="24"/>
          <w:szCs w:val="24"/>
        </w:rPr>
        <w:t xml:space="preserve"> </w:t>
      </w:r>
      <w:r w:rsidR="00C81660">
        <w:rPr>
          <w:sz w:val="24"/>
          <w:szCs w:val="24"/>
        </w:rPr>
        <w:tab/>
      </w:r>
      <w:r w:rsidR="00C81660" w:rsidRPr="00856E8E">
        <w:rPr>
          <w:sz w:val="24"/>
          <w:szCs w:val="24"/>
        </w:rPr>
        <w:t>Vorhandene einh</w:t>
      </w:r>
      <w:r w:rsidR="00F90A83">
        <w:rPr>
          <w:sz w:val="24"/>
          <w:szCs w:val="24"/>
        </w:rPr>
        <w:t>eimische Bäume innerhalb der</w:t>
      </w:r>
      <w:r w:rsidR="00C81660" w:rsidRPr="00856E8E">
        <w:rPr>
          <w:sz w:val="24"/>
          <w:szCs w:val="24"/>
        </w:rPr>
        <w:t xml:space="preserve"> </w:t>
      </w:r>
      <w:r w:rsidR="003D6600">
        <w:rPr>
          <w:sz w:val="24"/>
          <w:szCs w:val="24"/>
        </w:rPr>
        <w:t xml:space="preserve">als Parkanlage gekennzeichneten </w:t>
      </w:r>
      <w:r w:rsidR="00F90A83">
        <w:rPr>
          <w:sz w:val="24"/>
          <w:szCs w:val="24"/>
        </w:rPr>
        <w:t xml:space="preserve">privaten Grünfläche mit </w:t>
      </w:r>
      <w:r w:rsidR="00C81660" w:rsidRPr="00856E8E">
        <w:rPr>
          <w:sz w:val="24"/>
          <w:szCs w:val="24"/>
        </w:rPr>
        <w:t>einem Stammumfang von 80 Zentimetern und mehr sind zu erhalten und</w:t>
      </w:r>
      <w:r w:rsidR="00C81660">
        <w:rPr>
          <w:sz w:val="24"/>
          <w:szCs w:val="24"/>
        </w:rPr>
        <w:t xml:space="preserve"> bei Ausfall durch </w:t>
      </w:r>
      <w:r w:rsidR="00C81660" w:rsidRPr="00856E8E">
        <w:rPr>
          <w:sz w:val="24"/>
          <w:szCs w:val="24"/>
        </w:rPr>
        <w:t>Baumarten</w:t>
      </w:r>
      <w:r w:rsidR="00C81660">
        <w:rPr>
          <w:sz w:val="24"/>
          <w:szCs w:val="24"/>
        </w:rPr>
        <w:t xml:space="preserve"> lt. Artenliste </w:t>
      </w:r>
      <w:r w:rsidR="00C81660" w:rsidRPr="00856E8E">
        <w:rPr>
          <w:sz w:val="24"/>
          <w:szCs w:val="24"/>
        </w:rPr>
        <w:t>zu ersetzen.</w:t>
      </w:r>
    </w:p>
    <w:p w:rsidR="00FB6017" w:rsidRDefault="00FB6017" w:rsidP="00FB6017">
      <w:pPr>
        <w:tabs>
          <w:tab w:val="left" w:pos="426"/>
        </w:tabs>
        <w:ind w:left="426" w:hanging="426"/>
        <w:rPr>
          <w:sz w:val="24"/>
          <w:szCs w:val="24"/>
        </w:rPr>
      </w:pPr>
      <w:r>
        <w:rPr>
          <w:sz w:val="24"/>
          <w:szCs w:val="24"/>
        </w:rPr>
        <w:t>3.7</w:t>
      </w:r>
      <w:r w:rsidR="00C81660">
        <w:rPr>
          <w:sz w:val="24"/>
          <w:szCs w:val="24"/>
        </w:rPr>
        <w:t xml:space="preserve"> </w:t>
      </w:r>
      <w:r w:rsidR="00C81660">
        <w:rPr>
          <w:sz w:val="24"/>
          <w:szCs w:val="24"/>
        </w:rPr>
        <w:tab/>
      </w:r>
      <w:r w:rsidR="00236033">
        <w:rPr>
          <w:sz w:val="24"/>
          <w:szCs w:val="24"/>
        </w:rPr>
        <w:t>Innerh</w:t>
      </w:r>
      <w:r w:rsidR="00F90A83">
        <w:rPr>
          <w:sz w:val="24"/>
          <w:szCs w:val="24"/>
        </w:rPr>
        <w:t xml:space="preserve">alb der </w:t>
      </w:r>
      <w:r w:rsidR="000643EC">
        <w:rPr>
          <w:sz w:val="24"/>
          <w:szCs w:val="24"/>
        </w:rPr>
        <w:t>Maßnahmefläche</w:t>
      </w:r>
      <w:r w:rsidR="003D6600">
        <w:rPr>
          <w:sz w:val="24"/>
          <w:szCs w:val="24"/>
        </w:rPr>
        <w:t xml:space="preserve"> </w:t>
      </w:r>
      <w:r w:rsidR="000643EC">
        <w:rPr>
          <w:sz w:val="24"/>
          <w:szCs w:val="24"/>
        </w:rPr>
        <w:t>(westliche private</w:t>
      </w:r>
      <w:r w:rsidR="00F90A83">
        <w:rPr>
          <w:sz w:val="24"/>
          <w:szCs w:val="24"/>
        </w:rPr>
        <w:t xml:space="preserve"> Grünfläche</w:t>
      </w:r>
      <w:r w:rsidR="000643EC">
        <w:rPr>
          <w:sz w:val="24"/>
          <w:szCs w:val="24"/>
        </w:rPr>
        <w:t>)</w:t>
      </w:r>
      <w:r w:rsidR="00236033">
        <w:rPr>
          <w:sz w:val="24"/>
          <w:szCs w:val="24"/>
        </w:rPr>
        <w:t xml:space="preserve"> ist eine Zauneidechsenburg durch Anlage eines</w:t>
      </w:r>
      <w:r w:rsidR="00523868">
        <w:rPr>
          <w:sz w:val="24"/>
          <w:szCs w:val="24"/>
        </w:rPr>
        <w:t xml:space="preserve"> Steinwalls </w:t>
      </w:r>
      <w:r w:rsidR="00236033">
        <w:rPr>
          <w:sz w:val="24"/>
          <w:szCs w:val="24"/>
        </w:rPr>
        <w:t xml:space="preserve">von 1,50 m </w:t>
      </w:r>
      <w:r w:rsidR="00523868">
        <w:rPr>
          <w:sz w:val="24"/>
          <w:szCs w:val="24"/>
        </w:rPr>
        <w:t>Durchmesser mit einer Mutterbodena</w:t>
      </w:r>
      <w:r w:rsidR="00236033">
        <w:rPr>
          <w:sz w:val="24"/>
          <w:szCs w:val="24"/>
        </w:rPr>
        <w:t>uffüllung von 0,50- 1,00 m Höhe zu errichten.</w:t>
      </w:r>
      <w:r>
        <w:rPr>
          <w:sz w:val="24"/>
          <w:szCs w:val="24"/>
        </w:rPr>
        <w:t xml:space="preserve"> Diese Maßnahme ist als vorgezogene Ausgleichsmaßnahme </w:t>
      </w:r>
      <w:r w:rsidRPr="003D6600">
        <w:rPr>
          <w:sz w:val="24"/>
          <w:szCs w:val="24"/>
          <w:u w:val="single"/>
        </w:rPr>
        <w:t>vor Baubeginn</w:t>
      </w:r>
      <w:r>
        <w:rPr>
          <w:sz w:val="24"/>
          <w:szCs w:val="24"/>
        </w:rPr>
        <w:t xml:space="preserve"> durchzuführen.</w:t>
      </w:r>
    </w:p>
    <w:p w:rsidR="00236033" w:rsidRPr="00856E8E" w:rsidRDefault="00236033" w:rsidP="00C81660">
      <w:pPr>
        <w:tabs>
          <w:tab w:val="left" w:pos="426"/>
        </w:tabs>
        <w:ind w:left="426" w:hanging="426"/>
        <w:rPr>
          <w:sz w:val="24"/>
          <w:szCs w:val="24"/>
        </w:rPr>
      </w:pPr>
    </w:p>
    <w:p w:rsidR="00532C3A" w:rsidRDefault="00532C3A" w:rsidP="00532C3A">
      <w:pPr>
        <w:rPr>
          <w:sz w:val="24"/>
          <w:szCs w:val="24"/>
        </w:rPr>
      </w:pPr>
      <w:r>
        <w:rPr>
          <w:sz w:val="24"/>
          <w:szCs w:val="24"/>
          <w:u w:val="single"/>
        </w:rPr>
        <w:lastRenderedPageBreak/>
        <w:t>Artenliste</w:t>
      </w:r>
      <w:r w:rsidR="00C81660">
        <w:rPr>
          <w:sz w:val="24"/>
          <w:szCs w:val="24"/>
          <w:u w:val="single"/>
        </w:rPr>
        <w:t xml:space="preserve"> </w:t>
      </w:r>
      <w:r w:rsidR="00335AD6">
        <w:rPr>
          <w:sz w:val="24"/>
          <w:szCs w:val="24"/>
          <w:u w:val="single"/>
        </w:rPr>
        <w:t>-</w:t>
      </w:r>
      <w:r>
        <w:rPr>
          <w:sz w:val="24"/>
          <w:szCs w:val="24"/>
          <w:u w:val="single"/>
        </w:rPr>
        <w:t xml:space="preserve"> Baumarten</w:t>
      </w:r>
      <w:r>
        <w:rPr>
          <w:sz w:val="24"/>
          <w:szCs w:val="24"/>
        </w:rPr>
        <w:br/>
        <w:t>Stieleiche</w:t>
      </w:r>
      <w:r>
        <w:rPr>
          <w:sz w:val="24"/>
          <w:szCs w:val="24"/>
        </w:rPr>
        <w:tab/>
        <w:t>Quercus robur</w:t>
      </w:r>
      <w:r>
        <w:rPr>
          <w:sz w:val="24"/>
          <w:szCs w:val="24"/>
        </w:rPr>
        <w:br/>
        <w:t>Traubeneiche</w:t>
      </w:r>
      <w:r>
        <w:rPr>
          <w:sz w:val="24"/>
          <w:szCs w:val="24"/>
        </w:rPr>
        <w:tab/>
        <w:t>Quercus petraea</w:t>
      </w:r>
      <w:r>
        <w:rPr>
          <w:sz w:val="24"/>
          <w:szCs w:val="24"/>
        </w:rPr>
        <w:br/>
        <w:t>Esche</w:t>
      </w:r>
      <w:r>
        <w:rPr>
          <w:sz w:val="24"/>
          <w:szCs w:val="24"/>
        </w:rPr>
        <w:tab/>
      </w:r>
      <w:r>
        <w:rPr>
          <w:sz w:val="24"/>
          <w:szCs w:val="24"/>
        </w:rPr>
        <w:tab/>
        <w:t>Fraxinius excelsior</w:t>
      </w:r>
      <w:r>
        <w:rPr>
          <w:sz w:val="24"/>
          <w:szCs w:val="24"/>
        </w:rPr>
        <w:br/>
        <w:t>Winterlinde</w:t>
      </w:r>
      <w:r>
        <w:rPr>
          <w:sz w:val="24"/>
          <w:szCs w:val="24"/>
        </w:rPr>
        <w:tab/>
        <w:t>Tilla cordata</w:t>
      </w:r>
      <w:r>
        <w:rPr>
          <w:sz w:val="24"/>
          <w:szCs w:val="24"/>
        </w:rPr>
        <w:br/>
        <w:t>Spitzahorn</w:t>
      </w:r>
      <w:r>
        <w:rPr>
          <w:sz w:val="24"/>
          <w:szCs w:val="24"/>
        </w:rPr>
        <w:tab/>
        <w:t>Acer platanoides</w:t>
      </w:r>
      <w:r>
        <w:rPr>
          <w:sz w:val="24"/>
          <w:szCs w:val="24"/>
        </w:rPr>
        <w:br/>
        <w:t>Feldahorn</w:t>
      </w:r>
      <w:r>
        <w:rPr>
          <w:sz w:val="24"/>
          <w:szCs w:val="24"/>
        </w:rPr>
        <w:tab/>
        <w:t>Acer campestre</w:t>
      </w:r>
      <w:r>
        <w:rPr>
          <w:sz w:val="24"/>
          <w:szCs w:val="24"/>
        </w:rPr>
        <w:br/>
        <w:t>Hängebirke</w:t>
      </w:r>
      <w:r>
        <w:rPr>
          <w:sz w:val="24"/>
          <w:szCs w:val="24"/>
        </w:rPr>
        <w:tab/>
        <w:t>Betula pendula</w:t>
      </w:r>
    </w:p>
    <w:p w:rsidR="00532C3A" w:rsidRDefault="00532C3A" w:rsidP="00532C3A">
      <w:pPr>
        <w:rPr>
          <w:sz w:val="24"/>
          <w:szCs w:val="24"/>
        </w:rPr>
      </w:pPr>
    </w:p>
    <w:p w:rsidR="004E4A4F" w:rsidRDefault="00C81660" w:rsidP="00C81660">
      <w:pPr>
        <w:tabs>
          <w:tab w:val="left" w:pos="426"/>
        </w:tabs>
        <w:rPr>
          <w:b/>
          <w:sz w:val="24"/>
          <w:szCs w:val="24"/>
        </w:rPr>
      </w:pPr>
      <w:r>
        <w:rPr>
          <w:b/>
          <w:sz w:val="24"/>
          <w:szCs w:val="24"/>
        </w:rPr>
        <w:t>II.</w:t>
      </w:r>
      <w:r>
        <w:rPr>
          <w:b/>
          <w:sz w:val="24"/>
          <w:szCs w:val="24"/>
        </w:rPr>
        <w:tab/>
      </w:r>
      <w:r w:rsidR="004E4A4F">
        <w:rPr>
          <w:b/>
          <w:sz w:val="24"/>
          <w:szCs w:val="24"/>
        </w:rPr>
        <w:t>Bauordnungsrechtliche Festsetzungen (§ 9 Abs. 4 BauGB i. V. m § 89 SächsBO)</w:t>
      </w:r>
    </w:p>
    <w:p w:rsidR="004E4A4F" w:rsidRPr="002B3CF7" w:rsidRDefault="00C70601" w:rsidP="00C81660">
      <w:pPr>
        <w:tabs>
          <w:tab w:val="left" w:pos="426"/>
        </w:tabs>
        <w:rPr>
          <w:sz w:val="24"/>
          <w:szCs w:val="24"/>
        </w:rPr>
      </w:pPr>
      <w:r w:rsidRPr="00C70601">
        <w:rPr>
          <w:sz w:val="24"/>
          <w:szCs w:val="24"/>
          <w:u w:val="single"/>
        </w:rPr>
        <w:t>1.</w:t>
      </w:r>
      <w:r w:rsidR="00C81660">
        <w:rPr>
          <w:sz w:val="24"/>
          <w:szCs w:val="24"/>
          <w:u w:val="single"/>
        </w:rPr>
        <w:t xml:space="preserve"> </w:t>
      </w:r>
      <w:r w:rsidR="00C81660">
        <w:rPr>
          <w:sz w:val="24"/>
          <w:szCs w:val="24"/>
          <w:u w:val="single"/>
        </w:rPr>
        <w:tab/>
      </w:r>
      <w:r w:rsidR="002B3CF7">
        <w:rPr>
          <w:sz w:val="24"/>
          <w:szCs w:val="24"/>
          <w:u w:val="single"/>
        </w:rPr>
        <w:t>Gestaltung der Gebäude</w:t>
      </w:r>
      <w:r w:rsidR="004E4A4F" w:rsidRPr="00C81660">
        <w:rPr>
          <w:sz w:val="24"/>
          <w:szCs w:val="24"/>
          <w:u w:val="single"/>
        </w:rPr>
        <w:br/>
      </w:r>
      <w:r w:rsidR="00523868">
        <w:rPr>
          <w:sz w:val="24"/>
          <w:szCs w:val="24"/>
        </w:rPr>
        <w:tab/>
      </w:r>
      <w:r w:rsidRPr="00C70601">
        <w:rPr>
          <w:sz w:val="24"/>
          <w:szCs w:val="24"/>
        </w:rPr>
        <w:t>Fassaden sind in weißen, beigen oder grauen nicht glänzenden Farbtönen zu gestalten.</w:t>
      </w:r>
      <w:r w:rsidR="004E4A4F" w:rsidRPr="00C70601">
        <w:rPr>
          <w:sz w:val="24"/>
          <w:szCs w:val="24"/>
        </w:rPr>
        <w:br/>
      </w:r>
    </w:p>
    <w:p w:rsidR="004E4A4F" w:rsidRPr="005F3509" w:rsidRDefault="00C81660" w:rsidP="00FB6017">
      <w:pPr>
        <w:tabs>
          <w:tab w:val="left" w:pos="426"/>
          <w:tab w:val="left" w:pos="709"/>
        </w:tabs>
        <w:rPr>
          <w:sz w:val="24"/>
          <w:szCs w:val="24"/>
        </w:rPr>
      </w:pPr>
      <w:r>
        <w:rPr>
          <w:sz w:val="24"/>
          <w:szCs w:val="24"/>
          <w:u w:val="single"/>
        </w:rPr>
        <w:t>2.</w:t>
      </w:r>
      <w:r>
        <w:rPr>
          <w:sz w:val="24"/>
          <w:szCs w:val="24"/>
          <w:u w:val="single"/>
        </w:rPr>
        <w:tab/>
      </w:r>
      <w:r w:rsidR="004E4A4F" w:rsidRPr="004E4A4F">
        <w:rPr>
          <w:sz w:val="24"/>
          <w:szCs w:val="24"/>
          <w:u w:val="single"/>
        </w:rPr>
        <w:t>Einfriedungen</w:t>
      </w:r>
      <w:r w:rsidR="00D93A01">
        <w:rPr>
          <w:sz w:val="24"/>
          <w:szCs w:val="24"/>
        </w:rPr>
        <w:br/>
      </w:r>
      <w:r w:rsidR="00523868">
        <w:rPr>
          <w:sz w:val="24"/>
          <w:szCs w:val="24"/>
        </w:rPr>
        <w:t>2.1</w:t>
      </w:r>
      <w:r w:rsidR="00523868">
        <w:rPr>
          <w:sz w:val="24"/>
          <w:szCs w:val="24"/>
        </w:rPr>
        <w:tab/>
      </w:r>
      <w:r w:rsidR="00D93A01" w:rsidRPr="005F3509">
        <w:rPr>
          <w:sz w:val="24"/>
          <w:szCs w:val="24"/>
        </w:rPr>
        <w:t xml:space="preserve">Sichtbehindernde </w:t>
      </w:r>
      <w:r w:rsidR="004E4A4F" w:rsidRPr="005F3509">
        <w:rPr>
          <w:sz w:val="24"/>
          <w:szCs w:val="24"/>
        </w:rPr>
        <w:t xml:space="preserve">Einfriedungen </w:t>
      </w:r>
      <w:r w:rsidR="005F3509">
        <w:rPr>
          <w:sz w:val="24"/>
          <w:szCs w:val="24"/>
        </w:rPr>
        <w:t>oder Hecken dürfen</w:t>
      </w:r>
      <w:r w:rsidR="00D93A01" w:rsidRPr="005F3509">
        <w:rPr>
          <w:sz w:val="24"/>
          <w:szCs w:val="24"/>
        </w:rPr>
        <w:t xml:space="preserve"> </w:t>
      </w:r>
      <w:r w:rsidR="005F3509" w:rsidRPr="005F3509">
        <w:rPr>
          <w:sz w:val="24"/>
          <w:szCs w:val="24"/>
        </w:rPr>
        <w:t xml:space="preserve">10 m ab </w:t>
      </w:r>
      <w:r w:rsidR="005F3509">
        <w:rPr>
          <w:sz w:val="24"/>
          <w:szCs w:val="24"/>
        </w:rPr>
        <w:t xml:space="preserve">dem </w:t>
      </w:r>
      <w:r w:rsidR="005F3509" w:rsidRPr="005F3509">
        <w:rPr>
          <w:sz w:val="24"/>
          <w:szCs w:val="24"/>
        </w:rPr>
        <w:t>Schnittpunkt der Grundstücks</w:t>
      </w:r>
      <w:r w:rsidR="00FB6017">
        <w:rPr>
          <w:sz w:val="24"/>
          <w:szCs w:val="24"/>
        </w:rPr>
        <w:t>-</w:t>
      </w:r>
      <w:r w:rsidR="00FB6017">
        <w:rPr>
          <w:sz w:val="24"/>
          <w:szCs w:val="24"/>
        </w:rPr>
        <w:tab/>
      </w:r>
      <w:r w:rsidR="005F3509" w:rsidRPr="005F3509">
        <w:rPr>
          <w:sz w:val="24"/>
          <w:szCs w:val="24"/>
        </w:rPr>
        <w:t xml:space="preserve">kanten entlang der jeweiligen Fahrbahn </w:t>
      </w:r>
      <w:r w:rsidR="004E4A4F" w:rsidRPr="005F3509">
        <w:rPr>
          <w:sz w:val="24"/>
          <w:szCs w:val="24"/>
        </w:rPr>
        <w:t xml:space="preserve">eine Höhe von </w:t>
      </w:r>
      <w:r w:rsidR="00D93A01" w:rsidRPr="005F3509">
        <w:rPr>
          <w:sz w:val="24"/>
          <w:szCs w:val="24"/>
        </w:rPr>
        <w:t>0,80</w:t>
      </w:r>
      <w:r w:rsidR="004E4A4F" w:rsidRPr="005F3509">
        <w:rPr>
          <w:sz w:val="24"/>
          <w:szCs w:val="24"/>
        </w:rPr>
        <w:t xml:space="preserve"> m nicht überschreiten.</w:t>
      </w:r>
    </w:p>
    <w:p w:rsidR="004E4A4F" w:rsidRDefault="00523868" w:rsidP="00523868">
      <w:pPr>
        <w:tabs>
          <w:tab w:val="left" w:pos="426"/>
        </w:tabs>
        <w:rPr>
          <w:sz w:val="24"/>
          <w:szCs w:val="24"/>
        </w:rPr>
      </w:pPr>
      <w:r>
        <w:rPr>
          <w:sz w:val="24"/>
          <w:szCs w:val="24"/>
        </w:rPr>
        <w:t>2.2</w:t>
      </w:r>
      <w:r>
        <w:rPr>
          <w:sz w:val="24"/>
          <w:szCs w:val="24"/>
        </w:rPr>
        <w:tab/>
      </w:r>
      <w:r w:rsidR="004E4A4F">
        <w:rPr>
          <w:sz w:val="24"/>
          <w:szCs w:val="24"/>
        </w:rPr>
        <w:t>Sämtliche Einfriedungen sind so anzulegen, dass sich eine Bode</w:t>
      </w:r>
      <w:r w:rsidR="00C70601">
        <w:rPr>
          <w:sz w:val="24"/>
          <w:szCs w:val="24"/>
        </w:rPr>
        <w:t>nfreiheit von 10- 15 cm ergibt.</w:t>
      </w:r>
      <w:r w:rsidR="00C70601">
        <w:rPr>
          <w:sz w:val="24"/>
          <w:szCs w:val="24"/>
        </w:rPr>
        <w:br/>
      </w:r>
      <w:r>
        <w:rPr>
          <w:sz w:val="24"/>
          <w:szCs w:val="24"/>
        </w:rPr>
        <w:tab/>
      </w:r>
      <w:r w:rsidR="004E4A4F">
        <w:rPr>
          <w:sz w:val="24"/>
          <w:szCs w:val="24"/>
        </w:rPr>
        <w:t>Die Errichtung von Sockeln, die mehr als 5 cm üb</w:t>
      </w:r>
      <w:r w:rsidR="00C70601">
        <w:rPr>
          <w:sz w:val="24"/>
          <w:szCs w:val="24"/>
        </w:rPr>
        <w:t>er das Fahrbahnniveau ragen, sind</w:t>
      </w:r>
      <w:r w:rsidR="004E4A4F">
        <w:rPr>
          <w:sz w:val="24"/>
          <w:szCs w:val="24"/>
        </w:rPr>
        <w:t xml:space="preserve"> unzulässig.</w:t>
      </w:r>
    </w:p>
    <w:p w:rsidR="00523868" w:rsidRDefault="00523868" w:rsidP="00523868">
      <w:pPr>
        <w:tabs>
          <w:tab w:val="left" w:pos="426"/>
        </w:tabs>
        <w:ind w:left="426" w:hanging="426"/>
        <w:rPr>
          <w:sz w:val="24"/>
          <w:szCs w:val="24"/>
        </w:rPr>
      </w:pPr>
      <w:r>
        <w:rPr>
          <w:sz w:val="24"/>
          <w:szCs w:val="24"/>
        </w:rPr>
        <w:t>2.3</w:t>
      </w:r>
      <w:r>
        <w:rPr>
          <w:sz w:val="24"/>
          <w:szCs w:val="24"/>
        </w:rPr>
        <w:tab/>
        <w:t>Die Grundstückseinfriedungen müssen mit einem Anteil von mindestens 30% als einheimische Laubhecke ausgebildet werden.</w:t>
      </w:r>
    </w:p>
    <w:p w:rsidR="00523868" w:rsidRDefault="00523868" w:rsidP="00523868">
      <w:pPr>
        <w:tabs>
          <w:tab w:val="left" w:pos="426"/>
        </w:tabs>
        <w:rPr>
          <w:sz w:val="24"/>
          <w:szCs w:val="24"/>
        </w:rPr>
      </w:pPr>
    </w:p>
    <w:p w:rsidR="00C70601" w:rsidRDefault="00C70601" w:rsidP="004E4A4F">
      <w:pPr>
        <w:rPr>
          <w:sz w:val="24"/>
          <w:szCs w:val="24"/>
        </w:rPr>
      </w:pPr>
    </w:p>
    <w:p w:rsidR="004E4A4F" w:rsidRPr="004E4A4F" w:rsidRDefault="00C81660" w:rsidP="00C81660">
      <w:pPr>
        <w:tabs>
          <w:tab w:val="left" w:pos="426"/>
        </w:tabs>
        <w:rPr>
          <w:b/>
          <w:sz w:val="24"/>
          <w:szCs w:val="24"/>
        </w:rPr>
      </w:pPr>
      <w:r>
        <w:rPr>
          <w:b/>
          <w:sz w:val="24"/>
          <w:szCs w:val="24"/>
        </w:rPr>
        <w:t>III.</w:t>
      </w:r>
      <w:r>
        <w:rPr>
          <w:b/>
          <w:sz w:val="24"/>
          <w:szCs w:val="24"/>
        </w:rPr>
        <w:tab/>
      </w:r>
      <w:r w:rsidR="004E4A4F" w:rsidRPr="004E4A4F">
        <w:rPr>
          <w:b/>
          <w:sz w:val="24"/>
          <w:szCs w:val="24"/>
        </w:rPr>
        <w:t>Hinweise</w:t>
      </w:r>
      <w:r w:rsidR="00F90A83">
        <w:rPr>
          <w:b/>
          <w:sz w:val="24"/>
          <w:szCs w:val="24"/>
        </w:rPr>
        <w:t>/ nachrichtliche Übernahmen</w:t>
      </w:r>
    </w:p>
    <w:p w:rsidR="00F4794D" w:rsidRDefault="00FB6017" w:rsidP="00C81660">
      <w:pPr>
        <w:tabs>
          <w:tab w:val="left" w:pos="426"/>
        </w:tabs>
        <w:rPr>
          <w:sz w:val="24"/>
          <w:szCs w:val="24"/>
        </w:rPr>
      </w:pPr>
      <w:r>
        <w:rPr>
          <w:sz w:val="24"/>
          <w:szCs w:val="24"/>
          <w:u w:val="single"/>
        </w:rPr>
        <w:t>1</w:t>
      </w:r>
      <w:r w:rsidR="00C81660">
        <w:rPr>
          <w:sz w:val="24"/>
          <w:szCs w:val="24"/>
          <w:u w:val="single"/>
        </w:rPr>
        <w:t>.</w:t>
      </w:r>
      <w:r w:rsidR="00C81660">
        <w:rPr>
          <w:sz w:val="24"/>
          <w:szCs w:val="24"/>
          <w:u w:val="single"/>
        </w:rPr>
        <w:tab/>
      </w:r>
      <w:r w:rsidR="004E4A4F" w:rsidRPr="00F4794D">
        <w:rPr>
          <w:sz w:val="24"/>
          <w:szCs w:val="24"/>
          <w:u w:val="single"/>
        </w:rPr>
        <w:t>Bodenfunde</w:t>
      </w:r>
      <w:r w:rsidR="004E4A4F">
        <w:rPr>
          <w:sz w:val="24"/>
          <w:szCs w:val="24"/>
        </w:rPr>
        <w:br/>
      </w:r>
      <w:r w:rsidR="00523868">
        <w:rPr>
          <w:sz w:val="24"/>
          <w:szCs w:val="24"/>
        </w:rPr>
        <w:tab/>
      </w:r>
      <w:r w:rsidR="004E4A4F">
        <w:rPr>
          <w:sz w:val="24"/>
          <w:szCs w:val="24"/>
        </w:rPr>
        <w:t>Bei Bodenfunden besteht gemäß § 20 des Sächsischen Gesetzes zum Schutz</w:t>
      </w:r>
      <w:r w:rsidR="00F4794D">
        <w:rPr>
          <w:sz w:val="24"/>
          <w:szCs w:val="24"/>
        </w:rPr>
        <w:t xml:space="preserve"> und zur Pflege der </w:t>
      </w:r>
      <w:r w:rsidR="00523868">
        <w:rPr>
          <w:sz w:val="24"/>
          <w:szCs w:val="24"/>
        </w:rPr>
        <w:tab/>
      </w:r>
      <w:r w:rsidR="00F4794D">
        <w:rPr>
          <w:sz w:val="24"/>
          <w:szCs w:val="24"/>
        </w:rPr>
        <w:t>Kulturdenkmale im Freistaat Sachsen Meldepflicht sowie Erhaltungs- und Sicherungspflicht.</w:t>
      </w:r>
    </w:p>
    <w:p w:rsidR="00DB338C" w:rsidRDefault="00FB6017" w:rsidP="00FB6017">
      <w:pPr>
        <w:tabs>
          <w:tab w:val="left" w:pos="426"/>
        </w:tabs>
        <w:rPr>
          <w:sz w:val="24"/>
          <w:szCs w:val="24"/>
        </w:rPr>
      </w:pPr>
      <w:r>
        <w:rPr>
          <w:sz w:val="24"/>
          <w:szCs w:val="24"/>
          <w:u w:val="single"/>
        </w:rPr>
        <w:t>2</w:t>
      </w:r>
      <w:r w:rsidR="00C81660">
        <w:rPr>
          <w:sz w:val="24"/>
          <w:szCs w:val="24"/>
          <w:u w:val="single"/>
        </w:rPr>
        <w:t>.</w:t>
      </w:r>
      <w:r w:rsidR="00C81660">
        <w:rPr>
          <w:sz w:val="24"/>
          <w:szCs w:val="24"/>
          <w:u w:val="single"/>
        </w:rPr>
        <w:tab/>
      </w:r>
      <w:r w:rsidR="004E4A4F" w:rsidRPr="004E4A4F">
        <w:rPr>
          <w:sz w:val="24"/>
          <w:szCs w:val="24"/>
          <w:u w:val="single"/>
        </w:rPr>
        <w:t>Bohrungen geologische Untersuchungen</w:t>
      </w:r>
      <w:r w:rsidR="004E4A4F">
        <w:rPr>
          <w:sz w:val="24"/>
          <w:szCs w:val="24"/>
        </w:rPr>
        <w:br/>
      </w:r>
      <w:r w:rsidR="00523868">
        <w:rPr>
          <w:sz w:val="24"/>
          <w:szCs w:val="24"/>
        </w:rPr>
        <w:tab/>
      </w:r>
      <w:r w:rsidR="004E4A4F">
        <w:rPr>
          <w:sz w:val="24"/>
          <w:szCs w:val="24"/>
        </w:rPr>
        <w:t>Sofern Bohrungen niedergebracht werden, besteht Bohranzeige- und Bohrergebnismitteilungs</w:t>
      </w:r>
      <w:r>
        <w:rPr>
          <w:sz w:val="24"/>
          <w:szCs w:val="24"/>
        </w:rPr>
        <w:t>-</w:t>
      </w:r>
      <w:r>
        <w:rPr>
          <w:sz w:val="24"/>
          <w:szCs w:val="24"/>
        </w:rPr>
        <w:tab/>
      </w:r>
      <w:r w:rsidR="004E4A4F">
        <w:rPr>
          <w:sz w:val="24"/>
          <w:szCs w:val="24"/>
        </w:rPr>
        <w:t>pflicht gegenüber dem Landesamt für Umwelt, Landwirtschaft und Geologie.</w:t>
      </w:r>
    </w:p>
    <w:p w:rsidR="006F1EDC" w:rsidRPr="00FB6017" w:rsidRDefault="000643EC" w:rsidP="006F1EDC">
      <w:pPr>
        <w:tabs>
          <w:tab w:val="left" w:pos="426"/>
        </w:tabs>
        <w:rPr>
          <w:sz w:val="24"/>
          <w:szCs w:val="24"/>
        </w:rPr>
      </w:pPr>
      <w:r>
        <w:rPr>
          <w:sz w:val="24"/>
          <w:szCs w:val="24"/>
          <w:u w:val="single"/>
        </w:rPr>
        <w:t>3</w:t>
      </w:r>
      <w:bookmarkStart w:id="0" w:name="_GoBack"/>
      <w:bookmarkEnd w:id="0"/>
      <w:r w:rsidR="006F1EDC" w:rsidRPr="006F1EDC">
        <w:rPr>
          <w:sz w:val="24"/>
          <w:szCs w:val="24"/>
          <w:u w:val="single"/>
        </w:rPr>
        <w:t>.</w:t>
      </w:r>
      <w:r w:rsidR="006F1EDC">
        <w:rPr>
          <w:sz w:val="24"/>
          <w:szCs w:val="24"/>
          <w:u w:val="single"/>
        </w:rPr>
        <w:tab/>
      </w:r>
      <w:r w:rsidR="006F1EDC" w:rsidRPr="006F1EDC">
        <w:rPr>
          <w:sz w:val="24"/>
          <w:szCs w:val="24"/>
          <w:u w:val="single"/>
        </w:rPr>
        <w:t>Grundwasserverhältnisse</w:t>
      </w:r>
      <w:r w:rsidR="006F1EDC">
        <w:rPr>
          <w:sz w:val="24"/>
          <w:szCs w:val="24"/>
        </w:rPr>
        <w:br/>
      </w:r>
      <w:r w:rsidR="006F1EDC">
        <w:rPr>
          <w:sz w:val="24"/>
          <w:szCs w:val="24"/>
        </w:rPr>
        <w:tab/>
        <w:t xml:space="preserve">Der derzeitige Grundwasserstand im vom Bergbau beeinflussten Haupthangendgrundwasserleiter </w:t>
      </w:r>
      <w:r w:rsidR="006F1EDC">
        <w:rPr>
          <w:sz w:val="24"/>
          <w:szCs w:val="24"/>
        </w:rPr>
        <w:tab/>
        <w:t>liegt bei +110,5 m NHN (Stand Mai 2020).</w:t>
      </w:r>
      <w:r w:rsidR="006F1EDC">
        <w:rPr>
          <w:sz w:val="24"/>
          <w:szCs w:val="24"/>
        </w:rPr>
        <w:br/>
      </w:r>
      <w:r w:rsidR="006F1EDC">
        <w:rPr>
          <w:sz w:val="24"/>
          <w:szCs w:val="24"/>
        </w:rPr>
        <w:tab/>
        <w:t>Unter Zugrundelegung einer mittleren Geländehöhe von +117,0 m NHN beträgt der Grundwasser-</w:t>
      </w:r>
      <w:r w:rsidR="006F1EDC">
        <w:rPr>
          <w:sz w:val="24"/>
          <w:szCs w:val="24"/>
        </w:rPr>
        <w:tab/>
        <w:t>flurabstand, bezogen auf den Haupthangendgrundwasserleiter</w:t>
      </w:r>
      <w:r w:rsidR="006F1EDC">
        <w:rPr>
          <w:sz w:val="24"/>
          <w:szCs w:val="24"/>
        </w:rPr>
        <w:br/>
      </w:r>
      <w:r w:rsidR="006F1EDC">
        <w:rPr>
          <w:sz w:val="24"/>
          <w:szCs w:val="24"/>
        </w:rPr>
        <w:tab/>
        <w:t>bei Betrieb der Horizontalfilterbrunnen: 5,4 m</w:t>
      </w:r>
      <w:r w:rsidR="006F1EDC">
        <w:rPr>
          <w:sz w:val="24"/>
          <w:szCs w:val="24"/>
        </w:rPr>
        <w:br/>
      </w:r>
      <w:r w:rsidR="006F1EDC">
        <w:rPr>
          <w:sz w:val="24"/>
          <w:szCs w:val="24"/>
        </w:rPr>
        <w:tab/>
        <w:t>ohne Betrieb der Horizontalfilterbrunnen: 3,8 m.</w:t>
      </w:r>
    </w:p>
    <w:sectPr w:rsidR="006F1EDC" w:rsidRPr="00FB6017" w:rsidSect="0052386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307E"/>
    <w:multiLevelType w:val="hybridMultilevel"/>
    <w:tmpl w:val="262A9C3A"/>
    <w:lvl w:ilvl="0" w:tplc="4ACAAA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E6419C"/>
    <w:multiLevelType w:val="hybridMultilevel"/>
    <w:tmpl w:val="5BCAC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B7165E"/>
    <w:multiLevelType w:val="hybridMultilevel"/>
    <w:tmpl w:val="68A4D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926E92"/>
    <w:multiLevelType w:val="hybridMultilevel"/>
    <w:tmpl w:val="46429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5F701A"/>
    <w:multiLevelType w:val="hybridMultilevel"/>
    <w:tmpl w:val="BB0A0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D34946"/>
    <w:multiLevelType w:val="hybridMultilevel"/>
    <w:tmpl w:val="23DABB04"/>
    <w:lvl w:ilvl="0" w:tplc="9036F5CC">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D421F"/>
    <w:multiLevelType w:val="hybridMultilevel"/>
    <w:tmpl w:val="4A0E5020"/>
    <w:lvl w:ilvl="0" w:tplc="7480BD28">
      <w:start w:val="1"/>
      <w:numFmt w:val="decimal"/>
      <w:lvlText w:val="%1."/>
      <w:lvlJc w:val="left"/>
      <w:pPr>
        <w:ind w:left="720" w:hanging="360"/>
      </w:pPr>
      <w:rPr>
        <w:rFonts w:hint="default"/>
        <w:i w:val="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D1"/>
    <w:rsid w:val="000643EC"/>
    <w:rsid w:val="002061D1"/>
    <w:rsid w:val="00236033"/>
    <w:rsid w:val="002B3CF7"/>
    <w:rsid w:val="002D0B57"/>
    <w:rsid w:val="00335AD6"/>
    <w:rsid w:val="003D6600"/>
    <w:rsid w:val="004E4A4F"/>
    <w:rsid w:val="00523868"/>
    <w:rsid w:val="00532C3A"/>
    <w:rsid w:val="005F3509"/>
    <w:rsid w:val="00665ACA"/>
    <w:rsid w:val="006B0D22"/>
    <w:rsid w:val="006F1EDC"/>
    <w:rsid w:val="00856E8E"/>
    <w:rsid w:val="00C10EFC"/>
    <w:rsid w:val="00C70601"/>
    <w:rsid w:val="00C81660"/>
    <w:rsid w:val="00D93A01"/>
    <w:rsid w:val="00DB338C"/>
    <w:rsid w:val="00F4794D"/>
    <w:rsid w:val="00F7765D"/>
    <w:rsid w:val="00F90A83"/>
    <w:rsid w:val="00FB6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0597"/>
  <w15:chartTrackingRefBased/>
  <w15:docId w15:val="{4A4CAC9F-4064-4C44-B8D1-F61DBD86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65D"/>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0D22"/>
    <w:pPr>
      <w:ind w:left="720"/>
      <w:contextualSpacing/>
    </w:pPr>
  </w:style>
  <w:style w:type="paragraph" w:styleId="Sprechblasentext">
    <w:name w:val="Balloon Text"/>
    <w:basedOn w:val="Standard"/>
    <w:link w:val="SprechblasentextZchn"/>
    <w:uiPriority w:val="99"/>
    <w:semiHidden/>
    <w:unhideWhenUsed/>
    <w:rsid w:val="00F479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Hoyerswerda</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Krupka, Heike</dc:creator>
  <cp:keywords/>
  <dc:description/>
  <cp:lastModifiedBy>Krupka, Heike</cp:lastModifiedBy>
  <cp:revision>10</cp:revision>
  <cp:lastPrinted>2021-08-31T07:54:00Z</cp:lastPrinted>
  <dcterms:created xsi:type="dcterms:W3CDTF">2021-08-25T06:58:00Z</dcterms:created>
  <dcterms:modified xsi:type="dcterms:W3CDTF">2021-08-31T07:54:00Z</dcterms:modified>
</cp:coreProperties>
</file>